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  <w:bookmarkStart w:id="0" w:name="_Toc515354121"/>
      <w:r>
        <w:rPr>
          <w:rFonts w:ascii="Arial" w:eastAsia="Times New Roman" w:hAnsi="Arial" w:cs="Times New Roman"/>
          <w:b/>
          <w:bCs/>
          <w:noProof/>
          <w:color w:val="000000"/>
          <w:sz w:val="24"/>
          <w:szCs w:val="20"/>
          <w:u w:color="000000"/>
          <w:bdr w:val="nil"/>
          <w:lang w:eastAsia="en-GB"/>
        </w:rPr>
        <w:drawing>
          <wp:anchor distT="0" distB="0" distL="114300" distR="114300" simplePos="0" relativeHeight="251659264" behindDoc="0" locked="0" layoutInCell="1" allowOverlap="1" wp14:anchorId="50EDD7C3" wp14:editId="4F7B477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1426" cy="1049572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fE logo gunmetal fu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06" cy="105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  <w:r>
        <w:rPr>
          <w:rFonts w:ascii="Arial" w:eastAsia="Times New Roman" w:hAnsi="Arial" w:cs="Times New Roman"/>
          <w:b/>
          <w:bCs/>
          <w:noProof/>
          <w:color w:val="000000"/>
          <w:sz w:val="24"/>
          <w:szCs w:val="20"/>
          <w:u w:color="000000"/>
          <w:bdr w:val="nil"/>
          <w:lang w:eastAsia="en-GB"/>
        </w:rPr>
        <w:drawing>
          <wp:anchor distT="0" distB="0" distL="114300" distR="114300" simplePos="0" relativeHeight="251658240" behindDoc="0" locked="0" layoutInCell="1" allowOverlap="1" wp14:anchorId="47711165" wp14:editId="57B52AE1">
            <wp:simplePos x="0" y="0"/>
            <wp:positionH relativeFrom="column">
              <wp:posOffset>4984115</wp:posOffset>
            </wp:positionH>
            <wp:positionV relativeFrom="paragraph">
              <wp:posOffset>31115</wp:posOffset>
            </wp:positionV>
            <wp:extent cx="842645" cy="8820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y counci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  <w:t>USE AND LIMITATIONS OF EXPEDITION QUALIFICATIONS</w:t>
      </w:r>
    </w:p>
    <w:p w:rsidR="001A0732" w:rsidRDefault="001A0732" w:rsidP="001A073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color w:val="000000"/>
          <w:sz w:val="24"/>
          <w:szCs w:val="20"/>
          <w:u w:color="000000"/>
          <w:bdr w:val="nil"/>
          <w:lang w:eastAsia="en-GB"/>
        </w:rPr>
      </w:pPr>
    </w:p>
    <w:bookmarkEnd w:id="0"/>
    <w:p w:rsidR="001A0732" w:rsidRDefault="001A0732" w:rsidP="001A07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en-GB"/>
        </w:rPr>
        <w:t>Expedition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fr-FR" w:eastAsia="en-GB"/>
        </w:rPr>
        <w:t xml:space="preserve"> 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en-GB"/>
        </w:rPr>
        <w:t>Supervisors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fr-FR" w:eastAsia="en-GB"/>
        </w:rPr>
        <w:t xml:space="preserve"> 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must be </w:t>
      </w:r>
      <w:r w:rsidRPr="001A0732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qualified in the mode of travel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planned for the expedition. 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This leaflet lists the most common walking expedition leaders’ qualifications and notes the limits attached to each award.</w:t>
      </w:r>
    </w:p>
    <w:p w:rsidR="00FD1420" w:rsidRPr="001A0732" w:rsidRDefault="00FD1420" w:rsidP="001A073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C61DC8" w:rsidRDefault="001A0732" w:rsidP="00C61D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DofE Expedition Skills </w:t>
      </w:r>
      <w:r w:rsidR="00292F86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(DES)</w:t>
      </w:r>
      <w:r w:rsidR="00C61DC8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C61DC8" w:rsidRPr="00C61DC8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is </w:t>
      </w:r>
      <w:r w:rsidR="00C61DC8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designed by DofE to give volunteers the basic skills to assist and lead a Bronze DofE expedition. </w:t>
      </w:r>
      <w:r w:rsidR="00C61DC8" w:rsidRPr="00C61DC8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>It is a 3 day course delivered by experienced staff from a DofE Regional Office.</w:t>
      </w:r>
    </w:p>
    <w:p w:rsidR="00C61DC8" w:rsidRPr="00C61DC8" w:rsidRDefault="00C61DC8" w:rsidP="00C61DC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The use of DES is limited to </w:t>
      </w:r>
      <w:proofErr w:type="gramStart"/>
      <w:r w:rsidR="008D429D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>approved</w:t>
      </w:r>
      <w:proofErr w:type="gramEnd"/>
      <w:r w:rsidR="008D429D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>routes following pa</w:t>
      </w:r>
      <w:r w:rsidR="008D429D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>ths and tracks with 3km of a ro</w:t>
      </w:r>
      <w:r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>ad and below 400m.</w:t>
      </w:r>
    </w:p>
    <w:p w:rsidR="0044732E" w:rsidRDefault="0044732E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spacing w:val="12"/>
          <w:sz w:val="24"/>
          <w:szCs w:val="24"/>
          <w:lang w:val="en-US" w:eastAsia="en-GB"/>
        </w:rPr>
      </w:pPr>
    </w:p>
    <w:p w:rsidR="001A0732" w:rsidRDefault="001A0732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proofErr w:type="spellStart"/>
      <w:r w:rsidRPr="001A0732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Lowhills</w:t>
      </w:r>
      <w:proofErr w:type="spellEnd"/>
      <w:r w:rsidRPr="001A0732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Award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(suitable for Bronze and most Silver routes). This is a local qualification accredited by Adventure Scotland (AS) for </w:t>
      </w:r>
      <w:r w:rsidR="0044732E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DofE 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group leaders operating in the Grampian area (including Moray and </w:t>
      </w:r>
      <w:proofErr w:type="spellStart"/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Aberdeenshire</w:t>
      </w:r>
      <w:proofErr w:type="spellEnd"/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) only. </w:t>
      </w:r>
    </w:p>
    <w:p w:rsidR="0044732E" w:rsidRDefault="00292F86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Lowhills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Award is subject to the following Limitations:</w:t>
      </w:r>
    </w:p>
    <w:p w:rsidR="00292F86" w:rsidRPr="0044732E" w:rsidRDefault="00292F86" w:rsidP="00292F86">
      <w:pPr>
        <w:tabs>
          <w:tab w:val="left" w:pos="1134"/>
        </w:tabs>
        <w:spacing w:after="0" w:line="240" w:lineRule="auto"/>
        <w:ind w:left="567"/>
        <w:jc w:val="both"/>
        <w:rPr>
          <w:rFonts w:ascii="Arial" w:eastAsia="Times New Roman" w:hAnsi="Arial" w:cs="Arial"/>
          <w:spacing w:val="-3"/>
          <w:sz w:val="24"/>
          <w:szCs w:val="24"/>
        </w:rPr>
      </w:pPr>
    </w:p>
    <w:p w:rsidR="00292F86" w:rsidRPr="0044732E" w:rsidRDefault="00292F86" w:rsidP="00292F86">
      <w:pPr>
        <w:numPr>
          <w:ilvl w:val="0"/>
          <w:numId w:val="4"/>
        </w:numPr>
        <w:tabs>
          <w:tab w:val="clear" w:pos="360"/>
          <w:tab w:val="num" w:pos="567"/>
          <w:tab w:val="left" w:pos="1134"/>
          <w:tab w:val="center" w:pos="4513"/>
        </w:tabs>
        <w:suppressAutoHyphens/>
        <w:spacing w:after="0" w:line="240" w:lineRule="auto"/>
        <w:ind w:left="567" w:firstLine="0"/>
        <w:jc w:val="both"/>
        <w:rPr>
          <w:rFonts w:ascii="Arial" w:eastAsia="Times New Roman" w:hAnsi="Arial" w:cs="Arial"/>
          <w:bCs/>
          <w:iCs/>
          <w:spacing w:val="-3"/>
          <w:sz w:val="24"/>
          <w:szCs w:val="24"/>
        </w:rPr>
      </w:pPr>
      <w:r w:rsidRPr="00292F86">
        <w:rPr>
          <w:rFonts w:ascii="Arial" w:eastAsia="Times New Roman" w:hAnsi="Arial" w:cs="Arial"/>
          <w:b/>
          <w:bCs/>
          <w:spacing w:val="-3"/>
          <w:sz w:val="24"/>
          <w:szCs w:val="24"/>
        </w:rPr>
        <w:t>S</w:t>
      </w:r>
      <w:r w:rsidRPr="0044732E">
        <w:rPr>
          <w:rFonts w:ascii="Arial" w:eastAsia="Times New Roman" w:hAnsi="Arial" w:cs="Arial"/>
          <w:b/>
          <w:bCs/>
          <w:spacing w:val="-3"/>
          <w:sz w:val="24"/>
          <w:szCs w:val="24"/>
        </w:rPr>
        <w:t>ummer conditions</w:t>
      </w:r>
      <w:r w:rsidRPr="0044732E">
        <w:rPr>
          <w:rFonts w:ascii="Arial" w:eastAsia="Times New Roman" w:hAnsi="Arial" w:cs="Arial"/>
          <w:spacing w:val="-3"/>
          <w:sz w:val="24"/>
          <w:szCs w:val="24"/>
        </w:rPr>
        <w:t xml:space="preserve"> only, generally </w:t>
      </w:r>
      <w:r w:rsidRPr="00292F86">
        <w:rPr>
          <w:rFonts w:ascii="Arial" w:eastAsia="Times New Roman" w:hAnsi="Arial" w:cs="Arial"/>
          <w:spacing w:val="-3"/>
          <w:sz w:val="24"/>
          <w:szCs w:val="24"/>
        </w:rPr>
        <w:t xml:space="preserve">between </w:t>
      </w:r>
      <w:r w:rsidRPr="0044732E">
        <w:rPr>
          <w:rFonts w:ascii="Arial" w:eastAsia="Times New Roman" w:hAnsi="Arial" w:cs="Arial"/>
          <w:spacing w:val="-3"/>
          <w:sz w:val="24"/>
          <w:szCs w:val="24"/>
        </w:rPr>
        <w:t>May-October inclusive</w:t>
      </w:r>
      <w:r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</w:rPr>
        <w:t>.</w:t>
      </w:r>
    </w:p>
    <w:p w:rsidR="00292F86" w:rsidRPr="0044732E" w:rsidRDefault="00292F86" w:rsidP="00292F86">
      <w:pPr>
        <w:numPr>
          <w:ilvl w:val="0"/>
          <w:numId w:val="4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Routes are to be </w:t>
      </w:r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primarily path and track based, with no more than very short sections of untracked terrain between established paths.</w:t>
      </w:r>
    </w:p>
    <w:p w:rsidR="00292F86" w:rsidRPr="0044732E" w:rsidRDefault="00292F86" w:rsidP="00292F86">
      <w:pPr>
        <w:numPr>
          <w:ilvl w:val="0"/>
          <w:numId w:val="4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No</w:t>
      </w:r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 planned water crossings except for simple steps across small burns that cross established paths and are no more than ankle deep.</w:t>
      </w:r>
    </w:p>
    <w:p w:rsidR="00292F86" w:rsidRPr="0044732E" w:rsidRDefault="00292F86" w:rsidP="00292F86">
      <w:pPr>
        <w:numPr>
          <w:ilvl w:val="0"/>
          <w:numId w:val="4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Routes must be </w:t>
      </w:r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known to the leader. </w:t>
      </w:r>
    </w:p>
    <w:p w:rsidR="00292F86" w:rsidRDefault="00292F86" w:rsidP="00292F86">
      <w:pPr>
        <w:numPr>
          <w:ilvl w:val="0"/>
          <w:numId w:val="4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Routes are to be</w:t>
      </w:r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 within approximately 5km of a tarred road.</w:t>
      </w:r>
    </w:p>
    <w:p w:rsidR="00292F86" w:rsidRDefault="00292F86" w:rsidP="00292F86">
      <w:pPr>
        <w:numPr>
          <w:ilvl w:val="0"/>
          <w:numId w:val="4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Below 600m.</w:t>
      </w:r>
    </w:p>
    <w:p w:rsidR="00292F86" w:rsidRPr="0044732E" w:rsidRDefault="00292F86" w:rsidP="00292F86">
      <w:pPr>
        <w:numPr>
          <w:ilvl w:val="0"/>
          <w:numId w:val="4"/>
        </w:numPr>
        <w:tabs>
          <w:tab w:val="clear" w:pos="360"/>
          <w:tab w:val="num" w:pos="567"/>
          <w:tab w:val="left" w:pos="1134"/>
        </w:tabs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In the area </w:t>
      </w:r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to the east of the A9 between </w:t>
      </w:r>
      <w:proofErr w:type="spellStart"/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Dunkeld</w:t>
      </w:r>
      <w:proofErr w:type="spellEnd"/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 and Inverness and north of a line drawn from </w:t>
      </w:r>
      <w:proofErr w:type="spellStart"/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Dunkeld</w:t>
      </w:r>
      <w:proofErr w:type="spellEnd"/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 xml:space="preserve"> to Montrose</w:t>
      </w:r>
    </w:p>
    <w:p w:rsidR="00292F86" w:rsidRPr="0044732E" w:rsidRDefault="00292F86" w:rsidP="00292F86">
      <w:p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</w:pPr>
      <w:r w:rsidRPr="0044732E">
        <w:rPr>
          <w:rFonts w:ascii="Arial" w:eastAsia="Times New Roman" w:hAnsi="Arial" w:cs="Arial"/>
          <w:color w:val="000000"/>
          <w:spacing w:val="-3"/>
          <w:sz w:val="24"/>
          <w:szCs w:val="24"/>
          <w:lang w:eastAsia="en-GB"/>
        </w:rPr>
        <w:t>.</w:t>
      </w:r>
    </w:p>
    <w:p w:rsidR="00BA7B5F" w:rsidRDefault="00BA7B5F" w:rsidP="00BA7B5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color="000000"/>
          <w:bdr w:val="nil"/>
          <w:lang w:val="en-US" w:eastAsia="en-GB"/>
        </w:rPr>
        <w:t>Basic Expedition Leader</w:t>
      </w:r>
      <w:r w:rsidR="001A0732" w:rsidRPr="001A0732">
        <w:rPr>
          <w:rFonts w:ascii="Arial" w:eastAsia="Times New Roman" w:hAnsi="Arial" w:cs="Arial"/>
          <w:b/>
          <w:color w:val="000000"/>
          <w:sz w:val="24"/>
          <w:szCs w:val="24"/>
          <w:u w:color="000000"/>
          <w:bdr w:val="nil"/>
          <w:lang w:val="en-US" w:eastAsia="en-GB"/>
        </w:rPr>
        <w:t xml:space="preserve"> Award</w:t>
      </w:r>
      <w:r w:rsidR="001A0732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(</w:t>
      </w:r>
      <w:r w:rsidR="001A0732" w:rsidRPr="001A0732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BELA</w:t>
      </w:r>
      <w:r w:rsidR="001A0732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) (suitable for Bronze and some Silver). This is a national </w:t>
      </w:r>
      <w:r w:rsidR="001A0732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en-GB"/>
        </w:rPr>
        <w:t>recognised</w:t>
      </w:r>
      <w:r w:rsidR="001A0732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award which is being replaced by Lowland Leader.</w:t>
      </w:r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Holders of a BELA qualification will be able to lead DofE groups on routes within the limit of the Award.</w:t>
      </w:r>
    </w:p>
    <w:p w:rsidR="00BA7B5F" w:rsidRDefault="00BA7B5F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Limitations are similar to Lowland Leader.</w:t>
      </w:r>
    </w:p>
    <w:p w:rsidR="00292F86" w:rsidRPr="001A0732" w:rsidRDefault="00292F86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0" w:line="240" w:lineRule="auto"/>
        <w:rPr>
          <w:rFonts w:ascii="Arial" w:eastAsia="Georgia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BA7B5F" w:rsidRDefault="001A0732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proofErr w:type="gramStart"/>
      <w:r w:rsidRPr="001A0732">
        <w:rPr>
          <w:rFonts w:ascii="Arial" w:eastAsia="Times New Roman" w:hAnsi="Arial" w:cs="Arial"/>
          <w:b/>
          <w:color w:val="000000"/>
          <w:sz w:val="24"/>
          <w:szCs w:val="24"/>
          <w:u w:color="000000"/>
          <w:bdr w:val="nil"/>
          <w:lang w:val="en-US" w:eastAsia="en-GB"/>
        </w:rPr>
        <w:t>Walking Group Leader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(</w:t>
      </w:r>
      <w:r w:rsidRPr="001A0732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eastAsia="en-GB"/>
        </w:rPr>
        <w:t>WGL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it-IT" w:eastAsia="en-GB"/>
        </w:rPr>
        <w:t>) qualification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(suitable for Bronze and some Silver routes).</w:t>
      </w:r>
      <w:proofErr w:type="gramEnd"/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This is a national 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en-GB"/>
        </w:rPr>
        <w:t>recognised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award which </w:t>
      </w:r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has been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replaced by Lowland Leader.</w:t>
      </w:r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Holders of a WGL qualification will be able to lead DofE groups on routes within the limit of the Award.</w:t>
      </w:r>
    </w:p>
    <w:p w:rsidR="00BA7B5F" w:rsidRDefault="00BA7B5F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Limitations are the same as Lowland Leader.</w:t>
      </w:r>
    </w:p>
    <w:p w:rsidR="00BA7B5F" w:rsidRPr="001A0732" w:rsidRDefault="00BA7B5F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Georgia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C61DC8" w:rsidRDefault="00C61DC8">
      <w:pP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br w:type="page"/>
      </w:r>
    </w:p>
    <w:p w:rsidR="001A0732" w:rsidRDefault="001A0732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r w:rsidRPr="001A0732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 xml:space="preserve">Lowland Leader 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(suitable for Bronze and some Silver routes) </w:t>
      </w:r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is a national award 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accredited by Mountain Training UK.</w:t>
      </w:r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The Lowland Leader syllabus comprises a 2 day training course and a 2 day assessment. </w:t>
      </w:r>
      <w:proofErr w:type="spellStart"/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Candidattes</w:t>
      </w:r>
      <w:proofErr w:type="spellEnd"/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need a minimum of 10 logged walking days prior to training and 20 logged days prior to assessment. Logged days must include 6 hours walking plus an element of learning (</w:t>
      </w:r>
      <w:proofErr w:type="spellStart"/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ie</w:t>
      </w:r>
      <w:proofErr w:type="spellEnd"/>
      <w:r w:rsidR="00BA7B5F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new routes, new skills)</w:t>
      </w:r>
      <w:r w:rsidR="002372EB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. </w:t>
      </w:r>
    </w:p>
    <w:p w:rsidR="002372EB" w:rsidRDefault="002372EB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A number of private companies are licensed to deliver Lowland Leader training and assessment.</w:t>
      </w:r>
    </w:p>
    <w:p w:rsidR="00BA7B5F" w:rsidRPr="00BA7B5F" w:rsidRDefault="00BA7B5F" w:rsidP="00BA7B5F">
      <w:pPr>
        <w:spacing w:after="0" w:line="300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BA7B5F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882CFE">
        <w:rPr>
          <w:rFonts w:ascii="Arial" w:eastAsia="Times New Roman" w:hAnsi="Arial" w:cs="Arial"/>
          <w:sz w:val="24"/>
          <w:szCs w:val="24"/>
          <w:lang w:eastAsia="en-GB"/>
        </w:rPr>
        <w:t>Award</w:t>
      </w:r>
      <w:r w:rsidRPr="00BA7B5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82CFE">
        <w:rPr>
          <w:rFonts w:ascii="Arial" w:eastAsia="Times New Roman" w:hAnsi="Arial" w:cs="Arial"/>
          <w:sz w:val="24"/>
          <w:szCs w:val="24"/>
          <w:lang w:eastAsia="en-GB"/>
        </w:rPr>
        <w:t>is subject to the following limitations</w:t>
      </w:r>
      <w:r w:rsidRPr="00BA7B5F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</w:p>
    <w:p w:rsidR="00882CFE" w:rsidRDefault="002372EB" w:rsidP="002372EB">
      <w:pPr>
        <w:pStyle w:val="ListParagraph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300" w:lineRule="atLeast"/>
        <w:ind w:left="567" w:right="15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>ummer conditions (</w:t>
      </w:r>
      <w:proofErr w:type="spellStart"/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>ie</w:t>
      </w:r>
      <w:proofErr w:type="spellEnd"/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 xml:space="preserve"> when there is no unavoidable snow or ice on any part of the route).</w:t>
      </w:r>
    </w:p>
    <w:p w:rsidR="00882CFE" w:rsidRDefault="002372EB" w:rsidP="002372EB">
      <w:pPr>
        <w:pStyle w:val="ListParagraph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300" w:lineRule="atLeast"/>
        <w:ind w:left="567" w:right="15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Route</w:t>
      </w:r>
      <w:r w:rsidR="00882CFE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82CFE" w:rsidRPr="00BA7B5F">
        <w:rPr>
          <w:rFonts w:ascii="Arial" w:eastAsia="Times New Roman" w:hAnsi="Arial" w:cs="Arial"/>
          <w:sz w:val="24"/>
          <w:szCs w:val="24"/>
          <w:lang w:eastAsia="en-GB"/>
        </w:rPr>
        <w:t>must follow paths or tracks that are both marked on a map and clearly visible on the ground and that do not require navigation across untracked areas.</w:t>
      </w:r>
    </w:p>
    <w:p w:rsidR="00882CFE" w:rsidRPr="00882CFE" w:rsidRDefault="00882CFE" w:rsidP="002372EB">
      <w:pPr>
        <w:pStyle w:val="ListParagraph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300" w:lineRule="atLeast"/>
        <w:ind w:left="567" w:right="15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Water crossings to be by </w:t>
      </w:r>
      <w:r w:rsidRPr="00BA7B5F">
        <w:rPr>
          <w:rFonts w:ascii="Arial" w:eastAsia="Times New Roman" w:hAnsi="Arial" w:cs="Arial"/>
          <w:sz w:val="24"/>
          <w:szCs w:val="24"/>
          <w:lang w:eastAsia="en-GB"/>
        </w:rPr>
        <w:t>bridges or other recognised water crossing points.</w:t>
      </w:r>
    </w:p>
    <w:p w:rsidR="00882CFE" w:rsidRDefault="00BA7B5F" w:rsidP="002372EB">
      <w:pPr>
        <w:pStyle w:val="ListParagraph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300" w:lineRule="atLeast"/>
        <w:ind w:left="567" w:right="15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882CFE">
        <w:rPr>
          <w:rFonts w:ascii="Arial" w:eastAsia="Times New Roman" w:hAnsi="Arial" w:cs="Arial"/>
          <w:sz w:val="24"/>
          <w:szCs w:val="24"/>
          <w:lang w:eastAsia="en-GB"/>
        </w:rPr>
        <w:t>Walks must not</w:t>
      </w:r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 xml:space="preserve"> cross any hazardous terrain (</w:t>
      </w:r>
      <w:proofErr w:type="spellStart"/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882CFE">
        <w:rPr>
          <w:rFonts w:ascii="Arial" w:eastAsia="Times New Roman" w:hAnsi="Arial" w:cs="Arial"/>
          <w:sz w:val="24"/>
          <w:szCs w:val="24"/>
          <w:lang w:eastAsia="en-GB"/>
        </w:rPr>
        <w:t>g</w:t>
      </w:r>
      <w:proofErr w:type="spellEnd"/>
      <w:r w:rsidRPr="00882CFE">
        <w:rPr>
          <w:rFonts w:ascii="Arial" w:eastAsia="Times New Roman" w:hAnsi="Arial" w:cs="Arial"/>
          <w:sz w:val="24"/>
          <w:szCs w:val="24"/>
          <w:lang w:eastAsia="en-GB"/>
        </w:rPr>
        <w:t xml:space="preserve"> cliffs, very steep slopes, wat</w:t>
      </w:r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 xml:space="preserve">er hazards </w:t>
      </w:r>
      <w:proofErr w:type="spellStart"/>
      <w:r w:rsidR="00882CFE" w:rsidRPr="00882CFE">
        <w:rPr>
          <w:rFonts w:ascii="Arial" w:eastAsia="Times New Roman" w:hAnsi="Arial" w:cs="Arial"/>
          <w:sz w:val="24"/>
          <w:szCs w:val="24"/>
          <w:lang w:eastAsia="en-GB"/>
        </w:rPr>
        <w:t>etc</w:t>
      </w:r>
      <w:proofErr w:type="spellEnd"/>
      <w:r w:rsidRPr="00882CFE">
        <w:rPr>
          <w:rFonts w:ascii="Arial" w:eastAsia="Times New Roman" w:hAnsi="Arial" w:cs="Arial"/>
          <w:sz w:val="24"/>
          <w:szCs w:val="24"/>
          <w:lang w:eastAsia="en-GB"/>
        </w:rPr>
        <w:t xml:space="preserve">). </w:t>
      </w:r>
    </w:p>
    <w:p w:rsidR="00882CFE" w:rsidRDefault="00882CFE" w:rsidP="002372EB">
      <w:pPr>
        <w:pStyle w:val="ListParagraph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300" w:lineRule="atLeast"/>
        <w:ind w:left="567" w:right="15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Routes should stay “below the tree line”</w:t>
      </w:r>
      <w:r w:rsidR="002372EB">
        <w:rPr>
          <w:rFonts w:ascii="Arial" w:eastAsia="Times New Roman" w:hAnsi="Arial" w:cs="Arial"/>
          <w:sz w:val="24"/>
          <w:szCs w:val="24"/>
          <w:lang w:eastAsia="en-GB"/>
        </w:rPr>
        <w:t xml:space="preserve"> (nominally around 500m)</w:t>
      </w:r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:rsidR="00BA7B5F" w:rsidRPr="00BA7B5F" w:rsidRDefault="00882CFE" w:rsidP="002372EB">
      <w:pPr>
        <w:pStyle w:val="ListParagraph"/>
        <w:numPr>
          <w:ilvl w:val="0"/>
          <w:numId w:val="8"/>
        </w:numPr>
        <w:tabs>
          <w:tab w:val="left" w:pos="1134"/>
        </w:tabs>
        <w:spacing w:before="100" w:beforeAutospacing="1" w:after="100" w:afterAutospacing="1" w:line="300" w:lineRule="atLeast"/>
        <w:ind w:left="567" w:right="15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Routes</w:t>
      </w:r>
      <w:r w:rsidR="00BA7B5F" w:rsidRPr="00BA7B5F">
        <w:rPr>
          <w:rFonts w:ascii="Arial" w:eastAsia="Times New Roman" w:hAnsi="Arial" w:cs="Arial"/>
          <w:sz w:val="24"/>
          <w:szCs w:val="24"/>
          <w:lang w:eastAsia="en-GB"/>
        </w:rPr>
        <w:t xml:space="preserve"> should be </w:t>
      </w:r>
      <w:r>
        <w:rPr>
          <w:rFonts w:ascii="Arial" w:eastAsia="Times New Roman" w:hAnsi="Arial" w:cs="Arial"/>
          <w:sz w:val="24"/>
          <w:szCs w:val="24"/>
          <w:lang w:eastAsia="en-GB"/>
        </w:rPr>
        <w:t>within</w:t>
      </w:r>
      <w:r w:rsidR="00BA7B5F" w:rsidRPr="00BA7B5F">
        <w:rPr>
          <w:rFonts w:ascii="Arial" w:eastAsia="Times New Roman" w:hAnsi="Arial" w:cs="Arial"/>
          <w:sz w:val="24"/>
          <w:szCs w:val="24"/>
          <w:lang w:eastAsia="en-GB"/>
        </w:rPr>
        <w:t xml:space="preserve"> 3km away from a key access point such as a car park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or lay-by. P</w:t>
      </w:r>
      <w:r w:rsidR="00BA7B5F" w:rsidRPr="00BA7B5F">
        <w:rPr>
          <w:rFonts w:ascii="Arial" w:eastAsia="Times New Roman" w:hAnsi="Arial" w:cs="Arial"/>
          <w:sz w:val="24"/>
          <w:szCs w:val="24"/>
          <w:lang w:eastAsia="en-GB"/>
        </w:rPr>
        <w:t xml:space="preserve">otential escape routes should also lie within the scope of the defined terrain for the Lowland Leader award. </w:t>
      </w:r>
    </w:p>
    <w:p w:rsidR="001A0732" w:rsidRDefault="001A0732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</w:pPr>
      <w:r w:rsidRPr="00BA7B5F">
        <w:rPr>
          <w:rFonts w:ascii="Arial" w:eastAsia="Times New Roman" w:hAnsi="Arial" w:cs="Arial"/>
          <w:b/>
          <w:bCs/>
          <w:sz w:val="24"/>
          <w:szCs w:val="24"/>
          <w:u w:color="000000"/>
          <w:bdr w:val="nil"/>
          <w:lang w:val="en-US" w:eastAsia="en-GB"/>
        </w:rPr>
        <w:t xml:space="preserve">Mountain Leader 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eastAsia="en-GB"/>
        </w:rPr>
        <w:t xml:space="preserve">Award (ML) accredited 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>by Mountain Training UK for Bronze, Silver (above 600m) and Gold expeditions. Volunteers who have completed the Mountain Leader Training (MLT) course can lead on Bronze or Silver routes (below 600m).</w:t>
      </w:r>
      <w:r w:rsidR="006E7F30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 </w:t>
      </w:r>
    </w:p>
    <w:p w:rsidR="006E7F30" w:rsidRDefault="006E7F30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>The Mountain Leader qualification is limited to summer conditions. Although the remit opens access to wild and remote country, qualif</w:t>
      </w:r>
      <w:r w:rsidR="00C61DC8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ying routes still need to be selected to avoid hazards such as steep ground and water crossings. </w:t>
      </w:r>
      <w:r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 </w:t>
      </w:r>
    </w:p>
    <w:p w:rsidR="002372EB" w:rsidRDefault="002372EB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</w:pPr>
    </w:p>
    <w:p w:rsidR="006E7F30" w:rsidRPr="001A0732" w:rsidRDefault="006E7F30" w:rsidP="006E7F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Georgia" w:hAnsi="Arial" w:cs="Arial"/>
          <w:sz w:val="24"/>
          <w:szCs w:val="24"/>
          <w:u w:color="000000"/>
          <w:bdr w:val="nil"/>
          <w:lang w:val="en-US" w:eastAsia="en-GB"/>
        </w:rPr>
      </w:pP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Exceptionally the DofE Manager may 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eastAsia="en-GB"/>
        </w:rPr>
        <w:t>recognise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 other qualifications/experience on a case by case</w:t>
      </w:r>
      <w:r w:rsidRPr="00BA7B5F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 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>basis and in consultation with AS.</w:t>
      </w:r>
    </w:p>
    <w:p w:rsidR="002372EB" w:rsidRPr="001A0732" w:rsidRDefault="002372EB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Georgia" w:hAnsi="Arial" w:cs="Arial"/>
          <w:sz w:val="24"/>
          <w:szCs w:val="24"/>
          <w:u w:color="000000"/>
          <w:bdr w:val="nil"/>
          <w:lang w:val="en-US" w:eastAsia="en-GB"/>
        </w:rPr>
      </w:pPr>
    </w:p>
    <w:p w:rsidR="001A0732" w:rsidRPr="001A0732" w:rsidRDefault="001A0732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uppressAutoHyphens/>
        <w:spacing w:after="0" w:line="240" w:lineRule="auto"/>
        <w:rPr>
          <w:rFonts w:ascii="Arial" w:eastAsia="Georgia" w:hAnsi="Arial" w:cs="Arial"/>
          <w:sz w:val="24"/>
          <w:szCs w:val="24"/>
          <w:u w:color="000000"/>
          <w:bdr w:val="nil"/>
          <w:lang w:val="en-US" w:eastAsia="en-GB"/>
        </w:rPr>
      </w:pP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For </w:t>
      </w:r>
      <w:r w:rsidRPr="00BA7B5F">
        <w:rPr>
          <w:rFonts w:ascii="Arial" w:eastAsia="Times New Roman" w:hAnsi="Arial" w:cs="Arial"/>
          <w:b/>
          <w:bCs/>
          <w:sz w:val="24"/>
          <w:szCs w:val="24"/>
          <w:u w:color="000000"/>
          <w:bdr w:val="nil"/>
          <w:lang w:val="en-US" w:eastAsia="en-GB"/>
        </w:rPr>
        <w:t>other modes of transport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eastAsia="en-GB"/>
        </w:rPr>
        <w:t xml:space="preserve"> (cycle, canoe etc.) 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 xml:space="preserve">supervisors must hold an appropriate National Governing Body (NGB) Award in the mode of travel and the nature of the planned route. </w:t>
      </w:r>
      <w:r w:rsidR="006E7F30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>As the training structure for these sports is very complicated p</w:t>
      </w:r>
      <w:r w:rsidRPr="001A0732">
        <w:rPr>
          <w:rFonts w:ascii="Arial" w:eastAsia="Times New Roman" w:hAnsi="Arial" w:cs="Arial"/>
          <w:sz w:val="24"/>
          <w:szCs w:val="24"/>
          <w:u w:color="000000"/>
          <w:bdr w:val="nil"/>
          <w:lang w:val="en-US" w:eastAsia="en-GB"/>
        </w:rPr>
        <w:t>lease consult with the DofE Office to identify the appropriate qualifications or experience required.</w:t>
      </w:r>
    </w:p>
    <w:p w:rsidR="001A0732" w:rsidRPr="001A0732" w:rsidRDefault="001A0732" w:rsidP="00FD142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134"/>
        </w:tabs>
        <w:suppressAutoHyphens/>
        <w:spacing w:after="0" w:line="240" w:lineRule="auto"/>
        <w:rPr>
          <w:rFonts w:ascii="Arial" w:eastAsia="Georgi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:rsidR="0035594E" w:rsidRDefault="001A0732" w:rsidP="006E7F3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134"/>
        </w:tabs>
        <w:suppressAutoHyphens/>
        <w:spacing w:after="0" w:line="240" w:lineRule="auto"/>
      </w:pP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en-GB"/>
        </w:rPr>
        <w:t>Expedition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fr-FR" w:eastAsia="en-GB"/>
        </w:rPr>
        <w:t xml:space="preserve"> 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eastAsia="en-GB"/>
        </w:rPr>
        <w:t>Supervisors</w:t>
      </w:r>
      <w:r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must hold a current </w:t>
      </w:r>
      <w:r w:rsidRPr="001A0732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First Aid Certificate</w:t>
      </w:r>
      <w:r w:rsidR="002372EB"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. </w:t>
      </w:r>
      <w:r w:rsidR="006E7F30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>Course requirements are for</w:t>
      </w:r>
      <w:r w:rsidR="002372EB" w:rsidRPr="002372EB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16 hour </w:t>
      </w:r>
      <w:r w:rsidR="006E7F30">
        <w:rPr>
          <w:rFonts w:ascii="Arial" w:eastAsia="Times New Roman" w:hAnsi="Arial" w:cs="Arial"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of instruction and cover </w:t>
      </w:r>
      <w:r w:rsidR="006E7F30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e</w:t>
      </w:r>
      <w:r w:rsidR="002372EB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mergenc</w:t>
      </w:r>
      <w:r w:rsidR="006E7F30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ies</w:t>
      </w:r>
      <w:r w:rsidR="002372EB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6E7F30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in the o</w:t>
      </w:r>
      <w:r w:rsidR="002372EB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utdoors</w:t>
      </w:r>
      <w:r w:rsidR="006E7F30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. There are many course providers available and DofE Moray will </w:t>
      </w:r>
      <w:proofErr w:type="spellStart"/>
      <w:r w:rsidR="006E7F30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>organise</w:t>
      </w:r>
      <w:proofErr w:type="spellEnd"/>
      <w:r w:rsidR="006E7F30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regular training courses applicable for supervisors. </w:t>
      </w:r>
      <w:r w:rsidR="002372EB" w:rsidRPr="001A0732">
        <w:rPr>
          <w:rFonts w:ascii="Arial" w:eastAsia="Times New Roman" w:hAnsi="Arial" w:cs="Arial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</w:p>
    <w:p w:rsidR="001A0732" w:rsidRDefault="001A0732" w:rsidP="00FD1420"/>
    <w:p w:rsidR="001A0732" w:rsidRPr="001A0732" w:rsidRDefault="001A0732" w:rsidP="00FD1420">
      <w:pPr>
        <w:rPr>
          <w:rFonts w:ascii="Arial" w:hAnsi="Arial" w:cs="Arial"/>
        </w:rPr>
      </w:pPr>
    </w:p>
    <w:sectPr w:rsidR="001A0732" w:rsidRPr="001A07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32" w:rsidRDefault="001A0732" w:rsidP="001A0732">
      <w:pPr>
        <w:spacing w:after="0" w:line="240" w:lineRule="auto"/>
      </w:pPr>
      <w:r>
        <w:separator/>
      </w:r>
    </w:p>
  </w:endnote>
  <w:endnote w:type="continuationSeparator" w:id="0">
    <w:p w:rsidR="001A0732" w:rsidRDefault="001A0732" w:rsidP="001A0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3E" w:rsidRDefault="00593B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C8" w:rsidRDefault="00C61DC8">
    <w:pPr>
      <w:pStyle w:val="Footer"/>
    </w:pPr>
    <w:r>
      <w:t>OM</w:t>
    </w:r>
    <w:r w:rsidR="00593B3E">
      <w:t>20</w:t>
    </w:r>
    <w:r w:rsidR="007C149E">
      <w:t>v</w:t>
    </w:r>
    <w:bookmarkStart w:id="1" w:name="_GoBack"/>
    <w:bookmarkEnd w:id="1"/>
    <w:r>
      <w:t>1-15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3E" w:rsidRDefault="00593B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32" w:rsidRDefault="001A0732" w:rsidP="001A0732">
      <w:pPr>
        <w:spacing w:after="0" w:line="240" w:lineRule="auto"/>
      </w:pPr>
      <w:r>
        <w:separator/>
      </w:r>
    </w:p>
  </w:footnote>
  <w:footnote w:type="continuationSeparator" w:id="0">
    <w:p w:rsidR="001A0732" w:rsidRDefault="001A0732" w:rsidP="001A0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3E" w:rsidRDefault="00593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3E" w:rsidRDefault="00593B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3E" w:rsidRDefault="00593B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1AC4"/>
    <w:multiLevelType w:val="singleLevel"/>
    <w:tmpl w:val="6CBAA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E267722"/>
    <w:multiLevelType w:val="hybridMultilevel"/>
    <w:tmpl w:val="2A4E56AC"/>
    <w:lvl w:ilvl="0" w:tplc="08090001">
      <w:start w:val="1"/>
      <w:numFmt w:val="bullet"/>
      <w:lvlText w:val=""/>
      <w:lvlJc w:val="left"/>
      <w:pPr>
        <w:tabs>
          <w:tab w:val="left" w:pos="1844"/>
        </w:tabs>
        <w:ind w:left="1466" w:hanging="189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82BA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14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DA79F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20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88535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26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149D4A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32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8CDA66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38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F2D49C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44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6C36E6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50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9E9220">
      <w:start w:val="1"/>
      <w:numFmt w:val="bullet"/>
      <w:lvlText w:val="•"/>
      <w:lvlJc w:val="left"/>
      <w:pPr>
        <w:tabs>
          <w:tab w:val="left" w:pos="1844"/>
          <w:tab w:val="left" w:pos="1260"/>
        </w:tabs>
        <w:ind w:left="569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2BA20CD"/>
    <w:multiLevelType w:val="multilevel"/>
    <w:tmpl w:val="1AD8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696D17"/>
    <w:multiLevelType w:val="multilevel"/>
    <w:tmpl w:val="2886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F3704"/>
    <w:multiLevelType w:val="hybridMultilevel"/>
    <w:tmpl w:val="14FC7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D7211"/>
    <w:multiLevelType w:val="multilevel"/>
    <w:tmpl w:val="ACF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D43F01"/>
    <w:multiLevelType w:val="hybridMultilevel"/>
    <w:tmpl w:val="1D14D6D8"/>
    <w:lvl w:ilvl="0" w:tplc="143C9C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BF0319"/>
    <w:multiLevelType w:val="hybridMultilevel"/>
    <w:tmpl w:val="25FCB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32"/>
    <w:rsid w:val="001A0732"/>
    <w:rsid w:val="002372EB"/>
    <w:rsid w:val="00292F86"/>
    <w:rsid w:val="0035594E"/>
    <w:rsid w:val="0044732E"/>
    <w:rsid w:val="00593B3E"/>
    <w:rsid w:val="006E7F30"/>
    <w:rsid w:val="007C149E"/>
    <w:rsid w:val="00882CFE"/>
    <w:rsid w:val="008D429D"/>
    <w:rsid w:val="00BA7B5F"/>
    <w:rsid w:val="00C61DC8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0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32"/>
    <w:rPr>
      <w:sz w:val="20"/>
      <w:szCs w:val="20"/>
    </w:rPr>
  </w:style>
  <w:style w:type="character" w:styleId="FootnoteReference">
    <w:name w:val="footnote reference"/>
    <w:basedOn w:val="DefaultParagraphFont"/>
    <w:rsid w:val="001A07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0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E7F30"/>
    <w:rPr>
      <w:b w:val="0"/>
      <w:bCs w:val="0"/>
      <w:i/>
      <w:iCs/>
    </w:rPr>
  </w:style>
  <w:style w:type="paragraph" w:styleId="Header">
    <w:name w:val="header"/>
    <w:basedOn w:val="Normal"/>
    <w:link w:val="HeaderChar"/>
    <w:uiPriority w:val="99"/>
    <w:unhideWhenUsed/>
    <w:rsid w:val="00C6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C8"/>
  </w:style>
  <w:style w:type="paragraph" w:styleId="Footer">
    <w:name w:val="footer"/>
    <w:basedOn w:val="Normal"/>
    <w:link w:val="FooterChar"/>
    <w:uiPriority w:val="99"/>
    <w:unhideWhenUsed/>
    <w:rsid w:val="00C6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07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732"/>
    <w:rPr>
      <w:sz w:val="20"/>
      <w:szCs w:val="20"/>
    </w:rPr>
  </w:style>
  <w:style w:type="character" w:styleId="FootnoteReference">
    <w:name w:val="footnote reference"/>
    <w:basedOn w:val="DefaultParagraphFont"/>
    <w:rsid w:val="001A07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1A0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0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73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E7F30"/>
    <w:rPr>
      <w:b w:val="0"/>
      <w:bCs w:val="0"/>
      <w:i/>
      <w:iCs/>
    </w:rPr>
  </w:style>
  <w:style w:type="paragraph" w:styleId="Header">
    <w:name w:val="header"/>
    <w:basedOn w:val="Normal"/>
    <w:link w:val="HeaderChar"/>
    <w:uiPriority w:val="99"/>
    <w:unhideWhenUsed/>
    <w:rsid w:val="00C6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C8"/>
  </w:style>
  <w:style w:type="paragraph" w:styleId="Footer">
    <w:name w:val="footer"/>
    <w:basedOn w:val="Normal"/>
    <w:link w:val="FooterChar"/>
    <w:uiPriority w:val="99"/>
    <w:unhideWhenUsed/>
    <w:rsid w:val="00C61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456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105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BFCFD-7D4D-4149-AAEF-E3442E60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Gransden</dc:creator>
  <cp:lastModifiedBy>Chris Gransden</cp:lastModifiedBy>
  <cp:revision>3</cp:revision>
  <dcterms:created xsi:type="dcterms:W3CDTF">2019-11-28T12:18:00Z</dcterms:created>
  <dcterms:modified xsi:type="dcterms:W3CDTF">2019-12-05T12:13:00Z</dcterms:modified>
</cp:coreProperties>
</file>