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491" w:rsidRPr="00FA46BB" w:rsidRDefault="00962491" w:rsidP="00B66F0A">
      <w:pPr>
        <w:spacing w:line="240" w:lineRule="auto"/>
        <w:jc w:val="right"/>
        <w:rPr>
          <w:rFonts w:ascii="Arial" w:eastAsia="Times New Roman" w:hAnsi="Arial"/>
          <w:b/>
          <w:bCs/>
          <w:caps/>
        </w:rPr>
      </w:pPr>
      <w:bookmarkStart w:id="0" w:name="_GoBack"/>
      <w:bookmarkEnd w:id="0"/>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0"/>
        <w:gridCol w:w="5936"/>
      </w:tblGrid>
      <w:tr w:rsidR="00FA46BB" w:rsidRPr="00FA46BB" w:rsidTr="006B3503">
        <w:tc>
          <w:tcPr>
            <w:tcW w:w="3085" w:type="dxa"/>
            <w:shd w:val="clear" w:color="auto" w:fill="auto"/>
          </w:tcPr>
          <w:p w:rsidR="00FA46BB" w:rsidRPr="00FA46BB" w:rsidRDefault="00FA46BB" w:rsidP="00FA46BB">
            <w:pPr>
              <w:spacing w:line="240" w:lineRule="auto"/>
              <w:rPr>
                <w:rFonts w:eastAsia="Times New Roman"/>
                <w:b/>
                <w:bCs/>
                <w:caps/>
                <w:sz w:val="56"/>
                <w:szCs w:val="56"/>
              </w:rPr>
            </w:pPr>
            <w:r>
              <w:rPr>
                <w:rFonts w:eastAsia="Times New Roman"/>
                <w:b/>
                <w:bCs/>
                <w:caps/>
                <w:noProof/>
                <w:sz w:val="56"/>
                <w:szCs w:val="56"/>
                <w:lang w:eastAsia="en-GB"/>
              </w:rPr>
              <w:drawing>
                <wp:inline distT="0" distB="0" distL="0" distR="0" wp14:anchorId="5441719A" wp14:editId="6DB011C9">
                  <wp:extent cx="1771650" cy="1857375"/>
                  <wp:effectExtent l="0" t="0" r="0" b="0"/>
                  <wp:docPr id="2" name="Picture 2" descr="MC_A4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_A4 colour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c>
        <w:tc>
          <w:tcPr>
            <w:tcW w:w="6157" w:type="dxa"/>
            <w:shd w:val="clear" w:color="auto" w:fill="auto"/>
            <w:vAlign w:val="center"/>
          </w:tcPr>
          <w:p w:rsidR="00FA46BB" w:rsidRDefault="00FA46BB" w:rsidP="00FA46BB">
            <w:pPr>
              <w:spacing w:line="240" w:lineRule="auto"/>
              <w:jc w:val="center"/>
              <w:rPr>
                <w:rFonts w:eastAsia="Times New Roman"/>
                <w:b/>
                <w:bCs/>
                <w:caps/>
                <w:color w:val="0070C0"/>
                <w:sz w:val="40"/>
                <w:szCs w:val="40"/>
              </w:rPr>
            </w:pPr>
            <w:r>
              <w:rPr>
                <w:rFonts w:eastAsia="Times New Roman"/>
                <w:b/>
                <w:bCs/>
                <w:caps/>
                <w:color w:val="0070C0"/>
                <w:sz w:val="40"/>
                <w:szCs w:val="40"/>
              </w:rPr>
              <w:t xml:space="preserve">MORAY COUNCIL </w:t>
            </w:r>
          </w:p>
          <w:p w:rsidR="00FA46BB" w:rsidRDefault="00FA46BB" w:rsidP="00FA46BB">
            <w:pPr>
              <w:spacing w:line="240" w:lineRule="auto"/>
              <w:jc w:val="center"/>
              <w:rPr>
                <w:rFonts w:eastAsia="Times New Roman"/>
                <w:b/>
                <w:bCs/>
                <w:caps/>
                <w:color w:val="0070C0"/>
                <w:sz w:val="40"/>
                <w:szCs w:val="40"/>
              </w:rPr>
            </w:pPr>
            <w:r>
              <w:rPr>
                <w:rFonts w:eastAsia="Times New Roman"/>
                <w:b/>
                <w:bCs/>
                <w:caps/>
                <w:color w:val="0070C0"/>
                <w:sz w:val="40"/>
                <w:szCs w:val="40"/>
              </w:rPr>
              <w:t>ANNUAL PROCUREMENT REPORT</w:t>
            </w:r>
          </w:p>
          <w:p w:rsidR="00FA46BB" w:rsidRPr="00FA46BB" w:rsidRDefault="007A4F8B" w:rsidP="00FA46BB">
            <w:pPr>
              <w:spacing w:line="240" w:lineRule="auto"/>
              <w:jc w:val="center"/>
              <w:rPr>
                <w:rFonts w:eastAsia="Times New Roman"/>
                <w:b/>
                <w:bCs/>
                <w:sz w:val="36"/>
                <w:szCs w:val="36"/>
              </w:rPr>
            </w:pPr>
            <w:r>
              <w:rPr>
                <w:rFonts w:eastAsia="Times New Roman"/>
                <w:b/>
                <w:bCs/>
                <w:caps/>
                <w:color w:val="0070C0"/>
                <w:sz w:val="40"/>
                <w:szCs w:val="40"/>
              </w:rPr>
              <w:t>2020/2021</w:t>
            </w:r>
          </w:p>
        </w:tc>
      </w:tr>
    </w:tbl>
    <w:p w:rsidR="00794341" w:rsidRDefault="00794341" w:rsidP="00FA46BB">
      <w:pPr>
        <w:rPr>
          <w:rFonts w:ascii="Arial" w:eastAsia="Times New Roman" w:hAnsi="Arial"/>
          <w:b/>
          <w:bCs/>
          <w:caps/>
        </w:rPr>
      </w:pPr>
    </w:p>
    <w:p w:rsidR="00C23688" w:rsidRDefault="00794341" w:rsidP="00FA46BB">
      <w:pPr>
        <w:rPr>
          <w:rFonts w:ascii="Arial" w:eastAsia="Times New Roman" w:hAnsi="Arial"/>
          <w:b/>
          <w:bCs/>
          <w:caps/>
        </w:rPr>
      </w:pPr>
      <w:r w:rsidRPr="00794341">
        <w:rPr>
          <w:rFonts w:ascii="Arial" w:eastAsia="Times New Roman" w:hAnsi="Arial"/>
          <w:b/>
          <w:bCs/>
          <w:caps/>
          <w:noProof/>
          <w:lang w:eastAsia="en-GB"/>
        </w:rPr>
        <w:drawing>
          <wp:inline distT="0" distB="0" distL="0" distR="0" wp14:anchorId="16A73AFE" wp14:editId="288ED633">
            <wp:extent cx="3872230" cy="6324302"/>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76081" cy="6330592"/>
                    </a:xfrm>
                    <a:prstGeom prst="rect">
                      <a:avLst/>
                    </a:prstGeom>
                    <a:noFill/>
                    <a:ln>
                      <a:noFill/>
                    </a:ln>
                  </pic:spPr>
                </pic:pic>
              </a:graphicData>
            </a:graphic>
          </wp:inline>
        </w:drawing>
      </w:r>
      <w:r w:rsidR="00FA46BB" w:rsidRPr="00FA46BB">
        <w:rPr>
          <w:rFonts w:ascii="Arial" w:eastAsia="Times New Roman" w:hAnsi="Arial"/>
          <w:b/>
          <w:bCs/>
          <w:caps/>
        </w:rPr>
        <w:br w:type="page"/>
      </w:r>
    </w:p>
    <w:tbl>
      <w:tblPr>
        <w:tblStyle w:val="TableGrid"/>
        <w:tblW w:w="0" w:type="auto"/>
        <w:tblLook w:val="04A0" w:firstRow="1" w:lastRow="0" w:firstColumn="1" w:lastColumn="0" w:noHBand="0" w:noVBand="1"/>
      </w:tblPr>
      <w:tblGrid>
        <w:gridCol w:w="9016"/>
      </w:tblGrid>
      <w:tr w:rsidR="00C23688" w:rsidRPr="00C23688" w:rsidTr="00C23688">
        <w:tc>
          <w:tcPr>
            <w:tcW w:w="9242" w:type="dxa"/>
            <w:shd w:val="clear" w:color="auto" w:fill="DBE5F1" w:themeFill="accent1" w:themeFillTint="33"/>
          </w:tcPr>
          <w:p w:rsidR="00C23688" w:rsidRPr="00C23688" w:rsidRDefault="00C23688" w:rsidP="00FA46BB">
            <w:pPr>
              <w:rPr>
                <w:rFonts w:eastAsia="Times New Roman"/>
                <w:b/>
                <w:bCs/>
                <w:caps/>
              </w:rPr>
            </w:pPr>
            <w:r w:rsidRPr="00C23688">
              <w:rPr>
                <w:rFonts w:eastAsia="Times New Roman"/>
                <w:b/>
                <w:bCs/>
                <w:caps/>
              </w:rPr>
              <w:lastRenderedPageBreak/>
              <w:t>INDEX</w:t>
            </w:r>
          </w:p>
        </w:tc>
      </w:tr>
    </w:tbl>
    <w:p w:rsidR="00C23688" w:rsidRPr="00C23688" w:rsidRDefault="00C23688" w:rsidP="00FA46BB">
      <w:pPr>
        <w:rPr>
          <w:rFonts w:eastAsia="Times New Roman"/>
          <w:b/>
          <w:bCs/>
          <w:caps/>
        </w:rPr>
      </w:pPr>
    </w:p>
    <w:p w:rsidR="001C303E" w:rsidRPr="00EF7E67" w:rsidRDefault="00EF7E67" w:rsidP="00FA46BB">
      <w:pPr>
        <w:rPr>
          <w:rFonts w:eastAsia="Times New Roman"/>
          <w:bCs/>
          <w:caps/>
        </w:rPr>
      </w:pPr>
      <w:r>
        <w:rPr>
          <w:rFonts w:eastAsia="Times New Roman"/>
          <w:b/>
          <w:bCs/>
          <w:caps/>
        </w:rPr>
        <w:tab/>
      </w:r>
      <w:r>
        <w:rPr>
          <w:rFonts w:eastAsia="Times New Roman"/>
          <w:b/>
          <w:bCs/>
          <w:caps/>
        </w:rPr>
        <w:tab/>
      </w:r>
      <w:r>
        <w:rPr>
          <w:rFonts w:eastAsia="Times New Roman"/>
          <w:b/>
          <w:bCs/>
          <w:caps/>
        </w:rPr>
        <w:tab/>
      </w:r>
      <w:r>
        <w:rPr>
          <w:rFonts w:eastAsia="Times New Roman"/>
          <w:b/>
          <w:bCs/>
          <w:caps/>
        </w:rPr>
        <w:tab/>
      </w:r>
      <w:r>
        <w:rPr>
          <w:rFonts w:eastAsia="Times New Roman"/>
          <w:b/>
          <w:bCs/>
          <w:caps/>
        </w:rPr>
        <w:tab/>
      </w:r>
      <w:r>
        <w:rPr>
          <w:rFonts w:eastAsia="Times New Roman"/>
          <w:b/>
          <w:bCs/>
          <w:caps/>
        </w:rPr>
        <w:tab/>
      </w:r>
      <w:r>
        <w:rPr>
          <w:rFonts w:eastAsia="Times New Roman"/>
          <w:b/>
          <w:bCs/>
          <w:caps/>
        </w:rPr>
        <w:tab/>
      </w:r>
      <w:r>
        <w:rPr>
          <w:rFonts w:eastAsia="Times New Roman"/>
          <w:b/>
          <w:bCs/>
          <w:caps/>
        </w:rPr>
        <w:tab/>
      </w:r>
      <w:r>
        <w:rPr>
          <w:rFonts w:eastAsia="Times New Roman"/>
          <w:b/>
          <w:bCs/>
          <w:caps/>
        </w:rPr>
        <w:tab/>
      </w:r>
      <w:r>
        <w:rPr>
          <w:rFonts w:eastAsia="Times New Roman"/>
          <w:b/>
          <w:bCs/>
          <w:caps/>
        </w:rPr>
        <w:tab/>
      </w:r>
      <w:r>
        <w:rPr>
          <w:rFonts w:eastAsia="Times New Roman"/>
          <w:b/>
          <w:bCs/>
          <w:caps/>
        </w:rPr>
        <w:tab/>
        <w:t xml:space="preserve">          </w:t>
      </w:r>
      <w:r w:rsidRPr="00EF7E67">
        <w:rPr>
          <w:rFonts w:eastAsia="Times New Roman"/>
          <w:bCs/>
          <w:caps/>
        </w:rPr>
        <w:t>Page</w:t>
      </w:r>
    </w:p>
    <w:p w:rsidR="001C303E" w:rsidRDefault="001C303E" w:rsidP="00FA46BB">
      <w:pPr>
        <w:rPr>
          <w:rFonts w:eastAsia="Times New Roman"/>
          <w:bCs/>
        </w:rPr>
      </w:pPr>
      <w:r w:rsidRPr="00912AA7">
        <w:rPr>
          <w:rFonts w:eastAsia="Times New Roman"/>
          <w:bCs/>
          <w:caps/>
        </w:rPr>
        <w:t>SECTION 1</w:t>
      </w:r>
      <w:r>
        <w:rPr>
          <w:rFonts w:eastAsia="Times New Roman"/>
          <w:b/>
          <w:bCs/>
          <w:caps/>
        </w:rPr>
        <w:tab/>
      </w:r>
      <w:r>
        <w:rPr>
          <w:rFonts w:eastAsia="Times New Roman"/>
          <w:bCs/>
        </w:rPr>
        <w:t xml:space="preserve">Summary of </w:t>
      </w:r>
      <w:r w:rsidR="00A95152">
        <w:rPr>
          <w:rFonts w:eastAsia="Times New Roman"/>
          <w:bCs/>
        </w:rPr>
        <w:t>Regulated Procurements</w:t>
      </w:r>
      <w:r w:rsidR="009E16CB">
        <w:rPr>
          <w:rFonts w:eastAsia="Times New Roman"/>
          <w:bCs/>
        </w:rPr>
        <w:tab/>
      </w:r>
      <w:r w:rsidR="00912AA7">
        <w:rPr>
          <w:rFonts w:eastAsia="Times New Roman"/>
          <w:bCs/>
        </w:rPr>
        <w:tab/>
      </w:r>
      <w:r w:rsidR="00A95152">
        <w:rPr>
          <w:rFonts w:eastAsia="Times New Roman"/>
          <w:bCs/>
        </w:rPr>
        <w:tab/>
      </w:r>
      <w:r w:rsidR="00A95152">
        <w:rPr>
          <w:rFonts w:eastAsia="Times New Roman"/>
          <w:bCs/>
        </w:rPr>
        <w:tab/>
      </w:r>
      <w:r w:rsidR="00912AA7">
        <w:rPr>
          <w:rFonts w:eastAsia="Times New Roman"/>
          <w:bCs/>
        </w:rPr>
        <w:tab/>
        <w:t>3</w:t>
      </w:r>
    </w:p>
    <w:p w:rsidR="001C303E" w:rsidRDefault="001C303E" w:rsidP="00FA46BB">
      <w:pPr>
        <w:rPr>
          <w:rFonts w:eastAsia="Times New Roman"/>
          <w:bCs/>
        </w:rPr>
      </w:pPr>
      <w:r>
        <w:rPr>
          <w:rFonts w:eastAsia="Times New Roman"/>
          <w:bCs/>
        </w:rPr>
        <w:t>SECTION 2</w:t>
      </w:r>
      <w:r>
        <w:rPr>
          <w:rFonts w:eastAsia="Times New Roman"/>
          <w:bCs/>
        </w:rPr>
        <w:tab/>
        <w:t xml:space="preserve">Review of Regulated Procurement compliance </w:t>
      </w:r>
      <w:r w:rsidR="00912AA7">
        <w:rPr>
          <w:rFonts w:eastAsia="Times New Roman"/>
          <w:bCs/>
        </w:rPr>
        <w:tab/>
      </w:r>
      <w:r w:rsidR="00912AA7">
        <w:rPr>
          <w:rFonts w:eastAsia="Times New Roman"/>
          <w:bCs/>
        </w:rPr>
        <w:tab/>
      </w:r>
      <w:r w:rsidR="00912AA7">
        <w:rPr>
          <w:rFonts w:eastAsia="Times New Roman"/>
          <w:bCs/>
        </w:rPr>
        <w:tab/>
      </w:r>
      <w:r w:rsidR="00912AA7">
        <w:rPr>
          <w:rFonts w:eastAsia="Times New Roman"/>
          <w:bCs/>
        </w:rPr>
        <w:tab/>
        <w:t>4</w:t>
      </w:r>
    </w:p>
    <w:p w:rsidR="001C303E" w:rsidRDefault="001C303E" w:rsidP="00FA46BB">
      <w:pPr>
        <w:rPr>
          <w:rFonts w:eastAsia="Times New Roman"/>
          <w:bCs/>
        </w:rPr>
      </w:pPr>
      <w:r>
        <w:rPr>
          <w:rFonts w:eastAsia="Times New Roman"/>
          <w:bCs/>
        </w:rPr>
        <w:t>SECTION 3</w:t>
      </w:r>
      <w:r>
        <w:rPr>
          <w:rFonts w:eastAsia="Times New Roman"/>
          <w:bCs/>
        </w:rPr>
        <w:tab/>
        <w:t>Future Regulated Procurement S</w:t>
      </w:r>
      <w:r w:rsidR="00937CA9">
        <w:rPr>
          <w:rFonts w:eastAsia="Times New Roman"/>
          <w:bCs/>
        </w:rPr>
        <w:t>ummary 2019 to 2021</w:t>
      </w:r>
      <w:r w:rsidR="00937CA9">
        <w:rPr>
          <w:rFonts w:eastAsia="Times New Roman"/>
          <w:bCs/>
        </w:rPr>
        <w:tab/>
      </w:r>
      <w:r w:rsidR="00937CA9">
        <w:rPr>
          <w:rFonts w:eastAsia="Times New Roman"/>
          <w:bCs/>
        </w:rPr>
        <w:tab/>
      </w:r>
      <w:r w:rsidR="00937CA9">
        <w:rPr>
          <w:rFonts w:eastAsia="Times New Roman"/>
          <w:bCs/>
        </w:rPr>
        <w:tab/>
        <w:t>7</w:t>
      </w:r>
    </w:p>
    <w:p w:rsidR="00F125AB" w:rsidRDefault="001C303E" w:rsidP="00FA46BB">
      <w:pPr>
        <w:rPr>
          <w:rFonts w:eastAsia="Times New Roman"/>
          <w:bCs/>
        </w:rPr>
      </w:pPr>
      <w:r>
        <w:rPr>
          <w:rFonts w:eastAsia="Times New Roman"/>
          <w:bCs/>
        </w:rPr>
        <w:t>SECTION 4</w:t>
      </w:r>
      <w:r>
        <w:rPr>
          <w:rFonts w:eastAsia="Times New Roman"/>
          <w:bCs/>
        </w:rPr>
        <w:tab/>
        <w:t xml:space="preserve">Moray Update </w:t>
      </w:r>
      <w:r w:rsidR="00937CA9">
        <w:rPr>
          <w:rFonts w:eastAsia="Times New Roman"/>
          <w:bCs/>
        </w:rPr>
        <w:tab/>
      </w:r>
      <w:r w:rsidR="00937CA9">
        <w:rPr>
          <w:rFonts w:eastAsia="Times New Roman"/>
          <w:bCs/>
        </w:rPr>
        <w:tab/>
      </w:r>
      <w:r w:rsidR="00937CA9">
        <w:rPr>
          <w:rFonts w:eastAsia="Times New Roman"/>
          <w:bCs/>
        </w:rPr>
        <w:tab/>
      </w:r>
      <w:r w:rsidR="00937CA9">
        <w:rPr>
          <w:rFonts w:eastAsia="Times New Roman"/>
          <w:bCs/>
        </w:rPr>
        <w:tab/>
      </w:r>
      <w:r w:rsidR="00937CA9">
        <w:rPr>
          <w:rFonts w:eastAsia="Times New Roman"/>
          <w:bCs/>
        </w:rPr>
        <w:tab/>
      </w:r>
      <w:r w:rsidR="00937CA9">
        <w:rPr>
          <w:rFonts w:eastAsia="Times New Roman"/>
          <w:bCs/>
        </w:rPr>
        <w:tab/>
      </w:r>
      <w:r w:rsidR="00937CA9">
        <w:rPr>
          <w:rFonts w:eastAsia="Times New Roman"/>
          <w:bCs/>
        </w:rPr>
        <w:tab/>
      </w:r>
      <w:r w:rsidR="00937CA9">
        <w:rPr>
          <w:rFonts w:eastAsia="Times New Roman"/>
          <w:bCs/>
        </w:rPr>
        <w:tab/>
      </w:r>
      <w:r w:rsidR="00091C41">
        <w:rPr>
          <w:rFonts w:eastAsia="Times New Roman"/>
          <w:bCs/>
        </w:rPr>
        <w:t>8</w:t>
      </w:r>
    </w:p>
    <w:p w:rsidR="001C303E" w:rsidRDefault="00091C41" w:rsidP="00FA46BB">
      <w:pPr>
        <w:rPr>
          <w:rFonts w:eastAsia="Times New Roman"/>
          <w:bCs/>
        </w:rPr>
      </w:pPr>
      <w:r>
        <w:rPr>
          <w:rFonts w:eastAsia="Times New Roman"/>
          <w:bCs/>
        </w:rPr>
        <w:t>SECTION 5</w:t>
      </w:r>
      <w:r>
        <w:rPr>
          <w:rFonts w:eastAsia="Times New Roman"/>
          <w:bCs/>
        </w:rPr>
        <w:tab/>
        <w:t>Summary</w:t>
      </w:r>
      <w:r>
        <w:rPr>
          <w:rFonts w:eastAsia="Times New Roman"/>
          <w:bCs/>
        </w:rPr>
        <w:tab/>
      </w:r>
      <w:r>
        <w:rPr>
          <w:rFonts w:eastAsia="Times New Roman"/>
          <w:bCs/>
        </w:rPr>
        <w:tab/>
      </w:r>
      <w:r>
        <w:rPr>
          <w:rFonts w:eastAsia="Times New Roman"/>
          <w:bCs/>
        </w:rPr>
        <w:tab/>
      </w:r>
      <w:r>
        <w:rPr>
          <w:rFonts w:eastAsia="Times New Roman"/>
          <w:bCs/>
        </w:rPr>
        <w:tab/>
      </w:r>
      <w:r>
        <w:rPr>
          <w:rFonts w:eastAsia="Times New Roman"/>
          <w:bCs/>
        </w:rPr>
        <w:tab/>
      </w:r>
      <w:r>
        <w:rPr>
          <w:rFonts w:eastAsia="Times New Roman"/>
          <w:bCs/>
        </w:rPr>
        <w:tab/>
      </w:r>
      <w:r>
        <w:rPr>
          <w:rFonts w:eastAsia="Times New Roman"/>
          <w:bCs/>
        </w:rPr>
        <w:tab/>
      </w:r>
      <w:r>
        <w:rPr>
          <w:rFonts w:eastAsia="Times New Roman"/>
          <w:bCs/>
        </w:rPr>
        <w:tab/>
        <w:t xml:space="preserve">           10</w:t>
      </w:r>
    </w:p>
    <w:p w:rsidR="001C303E" w:rsidRDefault="001C303E" w:rsidP="00FA46BB">
      <w:pPr>
        <w:rPr>
          <w:rFonts w:eastAsia="Times New Roman"/>
          <w:bCs/>
        </w:rPr>
      </w:pPr>
    </w:p>
    <w:p w:rsidR="001C303E" w:rsidRDefault="001C303E" w:rsidP="00FA46BB">
      <w:pPr>
        <w:rPr>
          <w:rFonts w:eastAsia="Times New Roman"/>
          <w:bCs/>
        </w:rPr>
      </w:pPr>
    </w:p>
    <w:p w:rsidR="001C303E" w:rsidRDefault="00A95152" w:rsidP="00FA46BB">
      <w:pPr>
        <w:rPr>
          <w:rFonts w:eastAsia="Times New Roman"/>
          <w:bCs/>
        </w:rPr>
      </w:pPr>
      <w:r>
        <w:rPr>
          <w:rFonts w:eastAsia="Times New Roman"/>
          <w:bCs/>
        </w:rPr>
        <w:t>TABLE 1</w:t>
      </w:r>
      <w:r>
        <w:rPr>
          <w:rFonts w:eastAsia="Times New Roman"/>
          <w:bCs/>
        </w:rPr>
        <w:tab/>
        <w:t xml:space="preserve">Summary of live </w:t>
      </w:r>
      <w:r w:rsidR="001C303E">
        <w:rPr>
          <w:rFonts w:eastAsia="Times New Roman"/>
          <w:bCs/>
        </w:rPr>
        <w:t>co</w:t>
      </w:r>
      <w:r>
        <w:rPr>
          <w:rFonts w:eastAsia="Times New Roman"/>
          <w:bCs/>
        </w:rPr>
        <w:t>ntracts by category</w:t>
      </w:r>
      <w:r w:rsidR="008D7C79">
        <w:rPr>
          <w:rFonts w:eastAsia="Times New Roman"/>
          <w:bCs/>
        </w:rPr>
        <w:tab/>
      </w:r>
      <w:r w:rsidR="008D7C79">
        <w:rPr>
          <w:rFonts w:eastAsia="Times New Roman"/>
          <w:bCs/>
        </w:rPr>
        <w:tab/>
      </w:r>
      <w:r w:rsidR="00912AA7">
        <w:rPr>
          <w:rFonts w:eastAsia="Times New Roman"/>
          <w:bCs/>
        </w:rPr>
        <w:tab/>
      </w:r>
      <w:r>
        <w:rPr>
          <w:rFonts w:eastAsia="Times New Roman"/>
          <w:bCs/>
        </w:rPr>
        <w:tab/>
      </w:r>
      <w:r w:rsidR="00912AA7">
        <w:rPr>
          <w:rFonts w:eastAsia="Times New Roman"/>
          <w:bCs/>
        </w:rPr>
        <w:tab/>
        <w:t>3</w:t>
      </w:r>
    </w:p>
    <w:p w:rsidR="001C303E" w:rsidRDefault="001C303E" w:rsidP="00FA46BB">
      <w:pPr>
        <w:rPr>
          <w:rFonts w:eastAsia="Times New Roman"/>
          <w:bCs/>
        </w:rPr>
      </w:pPr>
      <w:r>
        <w:rPr>
          <w:rFonts w:eastAsia="Times New Roman"/>
          <w:bCs/>
        </w:rPr>
        <w:t>TABLE 2</w:t>
      </w:r>
      <w:r>
        <w:rPr>
          <w:rFonts w:eastAsia="Times New Roman"/>
          <w:bCs/>
        </w:rPr>
        <w:tab/>
      </w:r>
      <w:r w:rsidR="00937CA9">
        <w:rPr>
          <w:rFonts w:eastAsia="Times New Roman"/>
          <w:bCs/>
        </w:rPr>
        <w:t>Non cash benefits summary</w:t>
      </w:r>
      <w:r w:rsidR="00937CA9">
        <w:rPr>
          <w:rFonts w:eastAsia="Times New Roman"/>
          <w:bCs/>
        </w:rPr>
        <w:tab/>
      </w:r>
      <w:r w:rsidR="00937CA9">
        <w:rPr>
          <w:rFonts w:eastAsia="Times New Roman"/>
          <w:bCs/>
        </w:rPr>
        <w:tab/>
      </w:r>
      <w:r w:rsidR="00937CA9">
        <w:rPr>
          <w:rFonts w:eastAsia="Times New Roman"/>
          <w:bCs/>
        </w:rPr>
        <w:tab/>
      </w:r>
      <w:r w:rsidR="00937CA9">
        <w:rPr>
          <w:rFonts w:eastAsia="Times New Roman"/>
          <w:bCs/>
        </w:rPr>
        <w:tab/>
      </w:r>
      <w:r w:rsidR="00937CA9">
        <w:rPr>
          <w:rFonts w:eastAsia="Times New Roman"/>
          <w:bCs/>
        </w:rPr>
        <w:tab/>
      </w:r>
      <w:r w:rsidR="00937CA9">
        <w:rPr>
          <w:rFonts w:eastAsia="Times New Roman"/>
          <w:bCs/>
        </w:rPr>
        <w:tab/>
      </w:r>
      <w:r w:rsidR="00937CA9">
        <w:rPr>
          <w:rFonts w:eastAsia="Times New Roman"/>
          <w:bCs/>
        </w:rPr>
        <w:tab/>
        <w:t>5</w:t>
      </w:r>
    </w:p>
    <w:p w:rsidR="00937CA9" w:rsidRDefault="00937CA9" w:rsidP="00FA46BB">
      <w:pPr>
        <w:rPr>
          <w:rFonts w:eastAsia="Times New Roman"/>
          <w:bCs/>
        </w:rPr>
      </w:pPr>
      <w:r>
        <w:rPr>
          <w:rFonts w:eastAsia="Times New Roman"/>
          <w:bCs/>
        </w:rPr>
        <w:t xml:space="preserve">TABLE 3 </w:t>
      </w:r>
      <w:r>
        <w:rPr>
          <w:rFonts w:eastAsia="Times New Roman"/>
          <w:bCs/>
        </w:rPr>
        <w:tab/>
        <w:t>Supported business summary</w:t>
      </w:r>
      <w:r>
        <w:rPr>
          <w:rFonts w:eastAsia="Times New Roman"/>
          <w:bCs/>
        </w:rPr>
        <w:tab/>
      </w:r>
      <w:r w:rsidR="008D7C79">
        <w:rPr>
          <w:rFonts w:eastAsia="Times New Roman"/>
          <w:bCs/>
        </w:rPr>
        <w:tab/>
      </w:r>
      <w:r w:rsidR="008D7C79">
        <w:rPr>
          <w:rFonts w:eastAsia="Times New Roman"/>
          <w:bCs/>
        </w:rPr>
        <w:tab/>
      </w:r>
      <w:r w:rsidR="008D7C79">
        <w:rPr>
          <w:rFonts w:eastAsia="Times New Roman"/>
          <w:bCs/>
        </w:rPr>
        <w:tab/>
      </w:r>
      <w:r w:rsidR="008D7C79">
        <w:rPr>
          <w:rFonts w:eastAsia="Times New Roman"/>
          <w:bCs/>
        </w:rPr>
        <w:tab/>
      </w:r>
      <w:r w:rsidR="008D7C79">
        <w:rPr>
          <w:rFonts w:eastAsia="Times New Roman"/>
          <w:bCs/>
        </w:rPr>
        <w:tab/>
      </w:r>
      <w:r w:rsidR="008D7C79">
        <w:rPr>
          <w:rFonts w:eastAsia="Times New Roman"/>
          <w:bCs/>
        </w:rPr>
        <w:tab/>
        <w:t>6</w:t>
      </w:r>
    </w:p>
    <w:p w:rsidR="00937CA9" w:rsidRDefault="00937CA9" w:rsidP="00FA46BB">
      <w:pPr>
        <w:rPr>
          <w:rFonts w:eastAsia="Times New Roman"/>
          <w:bCs/>
        </w:rPr>
      </w:pPr>
      <w:r>
        <w:rPr>
          <w:rFonts w:eastAsia="Times New Roman"/>
          <w:bCs/>
        </w:rPr>
        <w:t>TABLE 4</w:t>
      </w:r>
      <w:r>
        <w:rPr>
          <w:rFonts w:eastAsia="Times New Roman"/>
          <w:bCs/>
        </w:rPr>
        <w:tab/>
        <w:t xml:space="preserve">Procurement Savings </w:t>
      </w:r>
      <w:r>
        <w:rPr>
          <w:rFonts w:eastAsia="Times New Roman"/>
          <w:bCs/>
        </w:rPr>
        <w:tab/>
      </w:r>
      <w:r>
        <w:rPr>
          <w:rFonts w:eastAsia="Times New Roman"/>
          <w:bCs/>
        </w:rPr>
        <w:tab/>
      </w:r>
      <w:r>
        <w:rPr>
          <w:rFonts w:eastAsia="Times New Roman"/>
          <w:bCs/>
        </w:rPr>
        <w:tab/>
      </w:r>
      <w:r>
        <w:rPr>
          <w:rFonts w:eastAsia="Times New Roman"/>
          <w:bCs/>
        </w:rPr>
        <w:tab/>
      </w:r>
      <w:r>
        <w:rPr>
          <w:rFonts w:eastAsia="Times New Roman"/>
          <w:bCs/>
        </w:rPr>
        <w:tab/>
      </w:r>
      <w:r w:rsidR="008D7C79">
        <w:rPr>
          <w:rFonts w:eastAsia="Times New Roman"/>
          <w:bCs/>
        </w:rPr>
        <w:tab/>
      </w:r>
      <w:r w:rsidR="008D7C79">
        <w:rPr>
          <w:rFonts w:eastAsia="Times New Roman"/>
          <w:bCs/>
        </w:rPr>
        <w:tab/>
      </w:r>
      <w:r w:rsidR="008D7C79">
        <w:rPr>
          <w:rFonts w:eastAsia="Times New Roman"/>
          <w:bCs/>
        </w:rPr>
        <w:tab/>
      </w:r>
      <w:r w:rsidR="00091C41">
        <w:rPr>
          <w:rFonts w:eastAsia="Times New Roman"/>
          <w:bCs/>
        </w:rPr>
        <w:t>9</w:t>
      </w:r>
    </w:p>
    <w:p w:rsidR="001C303E" w:rsidRDefault="001C303E" w:rsidP="00FA46BB">
      <w:pPr>
        <w:rPr>
          <w:rFonts w:eastAsia="Times New Roman"/>
          <w:bCs/>
        </w:rPr>
      </w:pPr>
    </w:p>
    <w:p w:rsidR="001C303E" w:rsidRDefault="001C303E" w:rsidP="00FA46BB">
      <w:pPr>
        <w:rPr>
          <w:rFonts w:eastAsia="Times New Roman"/>
          <w:bCs/>
        </w:rPr>
      </w:pPr>
    </w:p>
    <w:p w:rsidR="008D7C79" w:rsidRDefault="001C303E" w:rsidP="00FA46BB">
      <w:pPr>
        <w:rPr>
          <w:rFonts w:eastAsia="Times New Roman"/>
          <w:bCs/>
        </w:rPr>
      </w:pPr>
      <w:r>
        <w:rPr>
          <w:rFonts w:eastAsia="Times New Roman"/>
          <w:bCs/>
        </w:rPr>
        <w:t>APPE</w:t>
      </w:r>
      <w:r w:rsidR="000A0C68">
        <w:rPr>
          <w:rFonts w:eastAsia="Times New Roman"/>
          <w:bCs/>
        </w:rPr>
        <w:t>NDIX 1</w:t>
      </w:r>
      <w:r w:rsidR="000A0C68">
        <w:rPr>
          <w:rFonts w:eastAsia="Times New Roman"/>
          <w:bCs/>
        </w:rPr>
        <w:tab/>
      </w:r>
      <w:r w:rsidR="00937CA9">
        <w:rPr>
          <w:rFonts w:eastAsia="Times New Roman"/>
          <w:bCs/>
        </w:rPr>
        <w:t>Action Plan results</w:t>
      </w:r>
      <w:r w:rsidR="008D7C79">
        <w:rPr>
          <w:rFonts w:eastAsia="Times New Roman"/>
          <w:bCs/>
        </w:rPr>
        <w:tab/>
      </w:r>
      <w:r w:rsidR="008D7C79">
        <w:rPr>
          <w:rFonts w:eastAsia="Times New Roman"/>
          <w:bCs/>
        </w:rPr>
        <w:tab/>
      </w:r>
      <w:r w:rsidR="008D7C79">
        <w:rPr>
          <w:rFonts w:eastAsia="Times New Roman"/>
          <w:bCs/>
        </w:rPr>
        <w:tab/>
      </w:r>
      <w:r w:rsidR="008D7C79">
        <w:rPr>
          <w:rFonts w:eastAsia="Times New Roman"/>
          <w:bCs/>
        </w:rPr>
        <w:tab/>
      </w:r>
      <w:r w:rsidR="008D7C79">
        <w:rPr>
          <w:rFonts w:eastAsia="Times New Roman"/>
          <w:bCs/>
        </w:rPr>
        <w:tab/>
      </w:r>
      <w:r w:rsidR="008D7C79">
        <w:rPr>
          <w:rFonts w:eastAsia="Times New Roman"/>
          <w:bCs/>
        </w:rPr>
        <w:tab/>
      </w:r>
      <w:r w:rsidR="008D7C79">
        <w:rPr>
          <w:rFonts w:eastAsia="Times New Roman"/>
          <w:bCs/>
        </w:rPr>
        <w:tab/>
        <w:t xml:space="preserve">            11 </w:t>
      </w:r>
    </w:p>
    <w:p w:rsidR="001C303E" w:rsidRDefault="00C83C4C" w:rsidP="00FA46BB">
      <w:pPr>
        <w:rPr>
          <w:rFonts w:eastAsia="Times New Roman"/>
          <w:bCs/>
        </w:rPr>
      </w:pPr>
      <w:r>
        <w:rPr>
          <w:rFonts w:eastAsia="Times New Roman"/>
          <w:bCs/>
        </w:rPr>
        <w:lastRenderedPageBreak/>
        <w:t>APPEN</w:t>
      </w:r>
      <w:r w:rsidR="008D7C79">
        <w:rPr>
          <w:rFonts w:eastAsia="Times New Roman"/>
          <w:bCs/>
        </w:rPr>
        <w:t>DIX 2</w:t>
      </w:r>
      <w:r w:rsidR="008D7C79">
        <w:rPr>
          <w:rFonts w:eastAsia="Times New Roman"/>
          <w:bCs/>
        </w:rPr>
        <w:tab/>
        <w:t>Scottish Government Annual Report Statistics</w:t>
      </w:r>
      <w:r w:rsidR="008D7C79">
        <w:rPr>
          <w:rFonts w:eastAsia="Times New Roman"/>
          <w:bCs/>
        </w:rPr>
        <w:tab/>
      </w:r>
      <w:r w:rsidR="008D7C79">
        <w:rPr>
          <w:rFonts w:eastAsia="Times New Roman"/>
          <w:bCs/>
        </w:rPr>
        <w:tab/>
      </w:r>
      <w:r w:rsidR="008D7C79">
        <w:rPr>
          <w:rFonts w:eastAsia="Times New Roman"/>
          <w:bCs/>
        </w:rPr>
        <w:tab/>
        <w:t xml:space="preserve">            1</w:t>
      </w:r>
      <w:r w:rsidR="00091C41">
        <w:rPr>
          <w:rFonts w:eastAsia="Times New Roman"/>
          <w:bCs/>
        </w:rPr>
        <w:t>7</w:t>
      </w:r>
      <w:r w:rsidR="008D7C79">
        <w:rPr>
          <w:rFonts w:eastAsia="Times New Roman"/>
          <w:bCs/>
        </w:rPr>
        <w:tab/>
      </w:r>
      <w:r w:rsidR="008D7C79">
        <w:rPr>
          <w:rFonts w:eastAsia="Times New Roman"/>
          <w:bCs/>
        </w:rPr>
        <w:tab/>
      </w:r>
      <w:r w:rsidR="008D7C79">
        <w:rPr>
          <w:rFonts w:eastAsia="Times New Roman"/>
          <w:bCs/>
        </w:rPr>
        <w:tab/>
      </w:r>
      <w:r w:rsidR="008D7C79">
        <w:rPr>
          <w:rFonts w:eastAsia="Times New Roman"/>
          <w:bCs/>
        </w:rPr>
        <w:tab/>
      </w:r>
      <w:r w:rsidR="008D7C79">
        <w:rPr>
          <w:rFonts w:eastAsia="Times New Roman"/>
          <w:bCs/>
        </w:rPr>
        <w:tab/>
      </w:r>
      <w:r w:rsidR="008D7C79">
        <w:rPr>
          <w:rFonts w:eastAsia="Times New Roman"/>
          <w:bCs/>
        </w:rPr>
        <w:tab/>
      </w:r>
      <w:r w:rsidR="008D7C79">
        <w:rPr>
          <w:rFonts w:eastAsia="Times New Roman"/>
          <w:bCs/>
        </w:rPr>
        <w:tab/>
      </w:r>
      <w:r w:rsidR="008D7C79">
        <w:rPr>
          <w:rFonts w:eastAsia="Times New Roman"/>
          <w:bCs/>
        </w:rPr>
        <w:tab/>
      </w:r>
      <w:r w:rsidR="00937CA9">
        <w:rPr>
          <w:rFonts w:eastAsia="Times New Roman"/>
          <w:bCs/>
        </w:rPr>
        <w:tab/>
      </w:r>
      <w:r w:rsidR="00937CA9">
        <w:rPr>
          <w:rFonts w:eastAsia="Times New Roman"/>
          <w:bCs/>
        </w:rPr>
        <w:tab/>
      </w:r>
      <w:r w:rsidR="00937CA9">
        <w:rPr>
          <w:rFonts w:eastAsia="Times New Roman"/>
          <w:bCs/>
        </w:rPr>
        <w:tab/>
      </w:r>
      <w:r w:rsidR="00A676ED">
        <w:rPr>
          <w:rFonts w:eastAsia="Times New Roman"/>
          <w:bCs/>
        </w:rPr>
        <w:tab/>
      </w:r>
      <w:r w:rsidR="00A676ED">
        <w:rPr>
          <w:rFonts w:eastAsia="Times New Roman"/>
          <w:bCs/>
        </w:rPr>
        <w:tab/>
      </w:r>
      <w:r w:rsidR="00A676ED">
        <w:rPr>
          <w:rFonts w:eastAsia="Times New Roman"/>
          <w:bCs/>
        </w:rPr>
        <w:tab/>
      </w:r>
      <w:r w:rsidR="00A676ED">
        <w:rPr>
          <w:rFonts w:eastAsia="Times New Roman"/>
          <w:bCs/>
        </w:rPr>
        <w:tab/>
      </w:r>
      <w:r w:rsidR="0088345E">
        <w:rPr>
          <w:rFonts w:eastAsia="Times New Roman"/>
          <w:bCs/>
        </w:rPr>
        <w:t xml:space="preserve">    </w:t>
      </w:r>
      <w:r w:rsidR="00937CA9">
        <w:rPr>
          <w:rFonts w:eastAsia="Times New Roman"/>
          <w:bCs/>
        </w:rPr>
        <w:t xml:space="preserve">    </w:t>
      </w:r>
    </w:p>
    <w:p w:rsidR="001C303E" w:rsidRDefault="003B5393" w:rsidP="00FA46BB">
      <w:pPr>
        <w:rPr>
          <w:rFonts w:eastAsia="Times New Roman"/>
          <w:bCs/>
        </w:rPr>
      </w:pPr>
      <w:r>
        <w:rPr>
          <w:rFonts w:eastAsia="Times New Roman"/>
          <w:bCs/>
        </w:rPr>
        <w:tab/>
        <w:t xml:space="preserve">       </w:t>
      </w:r>
    </w:p>
    <w:p w:rsidR="001C303E" w:rsidRPr="001C303E" w:rsidRDefault="001C303E" w:rsidP="00FA46BB">
      <w:pPr>
        <w:rPr>
          <w:rFonts w:eastAsia="Times New Roman"/>
          <w:bCs/>
        </w:rPr>
      </w:pPr>
    </w:p>
    <w:p w:rsidR="00F64954" w:rsidRDefault="00F64954">
      <w:pPr>
        <w:rPr>
          <w:rFonts w:eastAsia="Times New Roman"/>
          <w:b/>
          <w:bCs/>
          <w:caps/>
        </w:rPr>
      </w:pPr>
      <w:r>
        <w:rPr>
          <w:rFonts w:eastAsia="Times New Roman"/>
          <w:b/>
          <w:bCs/>
          <w:caps/>
        </w:rPr>
        <w:br w:type="page"/>
      </w:r>
    </w:p>
    <w:tbl>
      <w:tblPr>
        <w:tblStyle w:val="TableGrid"/>
        <w:tblW w:w="0" w:type="auto"/>
        <w:shd w:val="clear" w:color="auto" w:fill="DBE5F1" w:themeFill="accent1" w:themeFillTint="33"/>
        <w:tblLook w:val="04A0" w:firstRow="1" w:lastRow="0" w:firstColumn="1" w:lastColumn="0" w:noHBand="0" w:noVBand="1"/>
      </w:tblPr>
      <w:tblGrid>
        <w:gridCol w:w="9016"/>
      </w:tblGrid>
      <w:tr w:rsidR="00C23688" w:rsidRPr="00C23688" w:rsidTr="00C23688">
        <w:tc>
          <w:tcPr>
            <w:tcW w:w="9242" w:type="dxa"/>
            <w:shd w:val="clear" w:color="auto" w:fill="DBE5F1" w:themeFill="accent1" w:themeFillTint="33"/>
          </w:tcPr>
          <w:p w:rsidR="00C23688" w:rsidRPr="00C23688" w:rsidRDefault="00C23688" w:rsidP="00FA46BB">
            <w:pPr>
              <w:rPr>
                <w:rFonts w:eastAsia="Times New Roman"/>
                <w:b/>
                <w:bCs/>
                <w:caps/>
              </w:rPr>
            </w:pPr>
            <w:r w:rsidRPr="00C23688">
              <w:rPr>
                <w:rFonts w:eastAsia="Times New Roman"/>
                <w:b/>
                <w:bCs/>
                <w:caps/>
              </w:rPr>
              <w:lastRenderedPageBreak/>
              <w:t>INTRODUCTION</w:t>
            </w:r>
          </w:p>
        </w:tc>
      </w:tr>
    </w:tbl>
    <w:p w:rsidR="00C23688" w:rsidRDefault="00C23688" w:rsidP="00FA46BB">
      <w:pPr>
        <w:rPr>
          <w:rFonts w:ascii="Arial" w:eastAsia="Times New Roman" w:hAnsi="Arial"/>
          <w:b/>
          <w:bCs/>
          <w:caps/>
        </w:rPr>
      </w:pPr>
    </w:p>
    <w:p w:rsidR="00C23688" w:rsidRDefault="001B64F2" w:rsidP="00FA46BB">
      <w:pPr>
        <w:rPr>
          <w:rFonts w:eastAsia="Times New Roman"/>
          <w:bCs/>
        </w:rPr>
      </w:pPr>
      <w:r>
        <w:rPr>
          <w:rFonts w:eastAsia="Times New Roman"/>
          <w:bCs/>
        </w:rPr>
        <w:t xml:space="preserve">The </w:t>
      </w:r>
      <w:r w:rsidR="00C23688">
        <w:rPr>
          <w:rFonts w:eastAsia="Times New Roman"/>
          <w:bCs/>
        </w:rPr>
        <w:t>Procure</w:t>
      </w:r>
      <w:r w:rsidR="0050616D">
        <w:rPr>
          <w:rFonts w:eastAsia="Times New Roman"/>
          <w:bCs/>
        </w:rPr>
        <w:t>ment Reform (Scotland) Act 2014 (the Act)</w:t>
      </w:r>
      <w:r>
        <w:rPr>
          <w:rFonts w:eastAsia="Times New Roman"/>
          <w:bCs/>
        </w:rPr>
        <w:t xml:space="preserve"> requires the Council to publish its Procurement Strategy each year and</w:t>
      </w:r>
      <w:r w:rsidR="0033511E">
        <w:rPr>
          <w:rFonts w:eastAsia="Times New Roman"/>
          <w:bCs/>
        </w:rPr>
        <w:t>,</w:t>
      </w:r>
      <w:r>
        <w:rPr>
          <w:rFonts w:eastAsia="Times New Roman"/>
          <w:bCs/>
        </w:rPr>
        <w:t xml:space="preserve"> i</w:t>
      </w:r>
      <w:r w:rsidR="00C23688">
        <w:rPr>
          <w:rFonts w:eastAsia="Times New Roman"/>
          <w:bCs/>
        </w:rPr>
        <w:t>n order to report complianc</w:t>
      </w:r>
      <w:r w:rsidR="00A95152">
        <w:rPr>
          <w:rFonts w:eastAsia="Times New Roman"/>
          <w:bCs/>
        </w:rPr>
        <w:t xml:space="preserve">e with this Strategy and </w:t>
      </w:r>
      <w:r w:rsidR="00C23688">
        <w:rPr>
          <w:rFonts w:eastAsia="Times New Roman"/>
          <w:bCs/>
        </w:rPr>
        <w:t xml:space="preserve">the Act itself, </w:t>
      </w:r>
      <w:r w:rsidR="00A95152">
        <w:rPr>
          <w:rFonts w:eastAsia="Times New Roman"/>
          <w:bCs/>
        </w:rPr>
        <w:t>the Council must</w:t>
      </w:r>
      <w:r w:rsidR="00C23688">
        <w:rPr>
          <w:rFonts w:eastAsia="Times New Roman"/>
          <w:bCs/>
        </w:rPr>
        <w:t xml:space="preserve"> publish an Annual report.</w:t>
      </w:r>
      <w:r>
        <w:rPr>
          <w:rFonts w:eastAsia="Times New Roman"/>
          <w:bCs/>
        </w:rPr>
        <w:t xml:space="preserve"> </w:t>
      </w:r>
    </w:p>
    <w:p w:rsidR="00C23688" w:rsidRDefault="00C23688" w:rsidP="00FA46BB">
      <w:pPr>
        <w:rPr>
          <w:rFonts w:eastAsia="Times New Roman"/>
          <w:bCs/>
        </w:rPr>
      </w:pPr>
    </w:p>
    <w:p w:rsidR="00C23688" w:rsidRDefault="00C23688" w:rsidP="00FA46BB">
      <w:r>
        <w:t xml:space="preserve">In addition to the required information set out in the Act, this report also </w:t>
      </w:r>
      <w:r w:rsidR="00A95152">
        <w:t>includes</w:t>
      </w:r>
      <w:r>
        <w:t xml:space="preserve"> performance against a number of strategic indicators which were in</w:t>
      </w:r>
      <w:r w:rsidR="00A95152">
        <w:t xml:space="preserve">troduced </w:t>
      </w:r>
      <w:r w:rsidR="00B334AA">
        <w:t xml:space="preserve">by the Council </w:t>
      </w:r>
      <w:r w:rsidR="00A95152">
        <w:t>in order to measure</w:t>
      </w:r>
      <w:r>
        <w:t xml:space="preserve"> progress </w:t>
      </w:r>
      <w:r w:rsidR="00282B34">
        <w:t>on the</w:t>
      </w:r>
      <w:r w:rsidR="00F67DEE">
        <w:t xml:space="preserve"> duties introduced by the legislation.</w:t>
      </w:r>
    </w:p>
    <w:p w:rsidR="00D36BD3" w:rsidRDefault="00D36BD3" w:rsidP="00FA46BB"/>
    <w:p w:rsidR="00D36BD3" w:rsidRDefault="00D36BD3" w:rsidP="00D36BD3">
      <w:r>
        <w:t xml:space="preserve">In order to evidence our progress against our strategic targets, the published Annual Report requires some form of measurement.  </w:t>
      </w:r>
      <w:r w:rsidR="00A95152">
        <w:t>The statistics presented in this report provide the</w:t>
      </w:r>
      <w:r>
        <w:t xml:space="preserve"> evidence which should, over time, show how the Council is progressing against both the national and local objectives.  The following sections provide both the statistical information and a commentary on performance </w:t>
      </w:r>
      <w:r w:rsidRPr="00D36BD3">
        <w:rPr>
          <w:i/>
        </w:rPr>
        <w:t>(in italics</w:t>
      </w:r>
      <w:r>
        <w:t>)</w:t>
      </w:r>
      <w:r w:rsidR="00624763">
        <w:t>.</w:t>
      </w:r>
    </w:p>
    <w:p w:rsidR="00A861F0" w:rsidRDefault="00A861F0" w:rsidP="00D36BD3"/>
    <w:p w:rsidR="00A861F0" w:rsidRDefault="00A861F0" w:rsidP="00D36BD3">
      <w:r>
        <w:t xml:space="preserve">The data provided in this report does reflect the impact of the COVID-19 pandemic.  For much of the financial year the procurement </w:t>
      </w:r>
      <w:r w:rsidR="0033511E">
        <w:t xml:space="preserve">service </w:t>
      </w:r>
      <w:r>
        <w:t>w</w:t>
      </w:r>
      <w:r w:rsidR="0033511E">
        <w:t>as</w:t>
      </w:r>
      <w:r>
        <w:t xml:space="preserve"> effectively stood down from operational service with only emergency and supplier relief </w:t>
      </w:r>
      <w:r w:rsidR="003F7637">
        <w:t>work being carried out until late summer.</w:t>
      </w:r>
      <w:r w:rsidR="00902DDC">
        <w:t xml:space="preserve">  The team were also without an Assistant Manag</w:t>
      </w:r>
      <w:r w:rsidR="00F02BF7">
        <w:t>er until October 2020 which had an impact on many of the strategic development actions identified for the year.</w:t>
      </w:r>
    </w:p>
    <w:p w:rsidR="00F67DEE" w:rsidRDefault="00F67DEE" w:rsidP="00FA46BB"/>
    <w:tbl>
      <w:tblPr>
        <w:tblStyle w:val="TableGrid"/>
        <w:tblW w:w="0" w:type="auto"/>
        <w:shd w:val="clear" w:color="auto" w:fill="DBE5F1" w:themeFill="accent1" w:themeFillTint="33"/>
        <w:tblLook w:val="04A0" w:firstRow="1" w:lastRow="0" w:firstColumn="1" w:lastColumn="0" w:noHBand="0" w:noVBand="1"/>
      </w:tblPr>
      <w:tblGrid>
        <w:gridCol w:w="9016"/>
      </w:tblGrid>
      <w:tr w:rsidR="00F67DEE" w:rsidRPr="00F67DEE" w:rsidTr="00F67DEE">
        <w:tc>
          <w:tcPr>
            <w:tcW w:w="9242" w:type="dxa"/>
            <w:shd w:val="clear" w:color="auto" w:fill="DBE5F1" w:themeFill="accent1" w:themeFillTint="33"/>
          </w:tcPr>
          <w:p w:rsidR="00F67DEE" w:rsidRPr="00F67DEE" w:rsidRDefault="00F67DEE" w:rsidP="00A95152">
            <w:pPr>
              <w:rPr>
                <w:rFonts w:asciiTheme="minorHAnsi" w:hAnsiTheme="minorHAnsi"/>
                <w:b/>
              </w:rPr>
            </w:pPr>
            <w:r w:rsidRPr="00F67DEE">
              <w:rPr>
                <w:rFonts w:asciiTheme="minorHAnsi" w:hAnsiTheme="minorHAnsi"/>
                <w:b/>
              </w:rPr>
              <w:lastRenderedPageBreak/>
              <w:t xml:space="preserve">SECTION 1 – SUMMARY OF </w:t>
            </w:r>
            <w:r w:rsidR="00B334AA">
              <w:rPr>
                <w:rStyle w:val="FootnoteReference"/>
                <w:rFonts w:asciiTheme="minorHAnsi" w:hAnsiTheme="minorHAnsi"/>
                <w:b/>
              </w:rPr>
              <w:footnoteReference w:id="1"/>
            </w:r>
            <w:r w:rsidRPr="00F67DEE">
              <w:rPr>
                <w:rFonts w:asciiTheme="minorHAnsi" w:hAnsiTheme="minorHAnsi"/>
                <w:b/>
              </w:rPr>
              <w:t>REGULATED PROCUREMENTS</w:t>
            </w:r>
          </w:p>
        </w:tc>
      </w:tr>
    </w:tbl>
    <w:p w:rsidR="00F67DEE" w:rsidRDefault="00F67DEE" w:rsidP="00FA46BB"/>
    <w:p w:rsidR="009E16CB" w:rsidRDefault="00F67DEE" w:rsidP="00FA46BB">
      <w:r w:rsidRPr="00F67DEE">
        <w:rPr>
          <w:b/>
        </w:rPr>
        <w:t>TABLE 1</w:t>
      </w:r>
      <w:r>
        <w:t xml:space="preserve"> highlights the summary</w:t>
      </w:r>
      <w:r w:rsidR="009E16CB">
        <w:t xml:space="preserve"> of live contracts</w:t>
      </w:r>
      <w:r w:rsidR="007A4F8B">
        <w:t xml:space="preserve"> (2020</w:t>
      </w:r>
      <w:r w:rsidR="001B64F2">
        <w:t>/202</w:t>
      </w:r>
      <w:r w:rsidR="007A4F8B">
        <w:t>1</w:t>
      </w:r>
      <w:r w:rsidR="000303EA">
        <w:t>)</w:t>
      </w:r>
      <w:r w:rsidR="009E16CB">
        <w:t xml:space="preserve"> by category</w:t>
      </w:r>
      <w:r w:rsidR="000B2EE4">
        <w:t xml:space="preserve">.  </w:t>
      </w:r>
    </w:p>
    <w:p w:rsidR="00F67DEE" w:rsidRDefault="00F67DEE" w:rsidP="00FA46BB"/>
    <w:p w:rsidR="00F67DEE" w:rsidRPr="001C303E" w:rsidRDefault="00F67DEE" w:rsidP="00FA46BB">
      <w:pPr>
        <w:rPr>
          <w:b/>
        </w:rPr>
      </w:pPr>
      <w:r w:rsidRPr="001C303E">
        <w:rPr>
          <w:b/>
        </w:rPr>
        <w:t>TABLE 1</w:t>
      </w:r>
    </w:p>
    <w:tbl>
      <w:tblPr>
        <w:tblStyle w:val="TableGrid"/>
        <w:tblW w:w="0" w:type="auto"/>
        <w:tblLook w:val="04A0" w:firstRow="1" w:lastRow="0" w:firstColumn="1" w:lastColumn="0" w:noHBand="0" w:noVBand="1"/>
      </w:tblPr>
      <w:tblGrid>
        <w:gridCol w:w="4621"/>
        <w:gridCol w:w="1299"/>
        <w:gridCol w:w="2433"/>
      </w:tblGrid>
      <w:tr w:rsidR="00F67DEE" w:rsidRPr="00405E4D" w:rsidTr="009E16CB">
        <w:tc>
          <w:tcPr>
            <w:tcW w:w="4621" w:type="dxa"/>
            <w:shd w:val="clear" w:color="auto" w:fill="DBE5F1" w:themeFill="accent1" w:themeFillTint="33"/>
          </w:tcPr>
          <w:p w:rsidR="00F67DEE" w:rsidRPr="00405E4D" w:rsidRDefault="00F67DEE" w:rsidP="00FA46BB">
            <w:pPr>
              <w:rPr>
                <w:b/>
              </w:rPr>
            </w:pPr>
            <w:r w:rsidRPr="00405E4D">
              <w:rPr>
                <w:b/>
              </w:rPr>
              <w:t>Contract Type</w:t>
            </w:r>
          </w:p>
        </w:tc>
        <w:tc>
          <w:tcPr>
            <w:tcW w:w="1299" w:type="dxa"/>
            <w:shd w:val="clear" w:color="auto" w:fill="DBE5F1" w:themeFill="accent1" w:themeFillTint="33"/>
          </w:tcPr>
          <w:p w:rsidR="00F67DEE" w:rsidRPr="00405E4D" w:rsidRDefault="00F67DEE" w:rsidP="009E16CB">
            <w:pPr>
              <w:jc w:val="right"/>
              <w:rPr>
                <w:b/>
              </w:rPr>
            </w:pPr>
            <w:r w:rsidRPr="00405E4D">
              <w:rPr>
                <w:b/>
              </w:rPr>
              <w:t>Number</w:t>
            </w:r>
          </w:p>
        </w:tc>
        <w:tc>
          <w:tcPr>
            <w:tcW w:w="2433" w:type="dxa"/>
            <w:shd w:val="clear" w:color="auto" w:fill="DBE5F1" w:themeFill="accent1" w:themeFillTint="33"/>
          </w:tcPr>
          <w:p w:rsidR="00E46430" w:rsidRDefault="009E16CB" w:rsidP="009E16CB">
            <w:pPr>
              <w:jc w:val="right"/>
              <w:rPr>
                <w:b/>
              </w:rPr>
            </w:pPr>
            <w:r>
              <w:rPr>
                <w:b/>
              </w:rPr>
              <w:t xml:space="preserve">Estimated Contract </w:t>
            </w:r>
            <w:r w:rsidR="00A84150">
              <w:rPr>
                <w:b/>
              </w:rPr>
              <w:t xml:space="preserve">Annual </w:t>
            </w:r>
            <w:r w:rsidR="00F67DEE" w:rsidRPr="00405E4D">
              <w:rPr>
                <w:b/>
              </w:rPr>
              <w:t>Value</w:t>
            </w:r>
            <w:r w:rsidR="00E3782C" w:rsidRPr="00405E4D">
              <w:rPr>
                <w:b/>
              </w:rPr>
              <w:t xml:space="preserve"> </w:t>
            </w:r>
          </w:p>
          <w:p w:rsidR="00F67DEE" w:rsidRPr="00405E4D" w:rsidRDefault="00E3782C" w:rsidP="009E16CB">
            <w:pPr>
              <w:jc w:val="right"/>
              <w:rPr>
                <w:b/>
              </w:rPr>
            </w:pPr>
            <w:r w:rsidRPr="00405E4D">
              <w:rPr>
                <w:b/>
              </w:rPr>
              <w:t>£000</w:t>
            </w:r>
          </w:p>
        </w:tc>
      </w:tr>
      <w:tr w:rsidR="00F67DEE" w:rsidTr="009E16CB">
        <w:tc>
          <w:tcPr>
            <w:tcW w:w="4621" w:type="dxa"/>
          </w:tcPr>
          <w:p w:rsidR="00F67DEE" w:rsidRPr="00A861F0" w:rsidRDefault="00F67DEE" w:rsidP="00FA46BB">
            <w:r w:rsidRPr="00A861F0">
              <w:t>Category A (national)</w:t>
            </w:r>
          </w:p>
        </w:tc>
        <w:tc>
          <w:tcPr>
            <w:tcW w:w="1299" w:type="dxa"/>
          </w:tcPr>
          <w:p w:rsidR="00F67DEE" w:rsidRPr="00A861F0" w:rsidRDefault="00405E4D" w:rsidP="009E16CB">
            <w:pPr>
              <w:jc w:val="right"/>
            </w:pPr>
            <w:r w:rsidRPr="00A861F0">
              <w:t xml:space="preserve">  </w:t>
            </w:r>
            <w:r w:rsidR="001B64F2" w:rsidRPr="00A861F0">
              <w:t>2</w:t>
            </w:r>
            <w:r w:rsidR="00A861F0">
              <w:t>6</w:t>
            </w:r>
          </w:p>
        </w:tc>
        <w:tc>
          <w:tcPr>
            <w:tcW w:w="2433" w:type="dxa"/>
          </w:tcPr>
          <w:p w:rsidR="00F67DEE" w:rsidRPr="00A861F0" w:rsidRDefault="00405E4D" w:rsidP="009E16CB">
            <w:pPr>
              <w:jc w:val="right"/>
            </w:pPr>
            <w:r w:rsidRPr="00A861F0">
              <w:t xml:space="preserve">  </w:t>
            </w:r>
            <w:r w:rsidR="001B64F2" w:rsidRPr="00A861F0">
              <w:t>7,812</w:t>
            </w:r>
          </w:p>
        </w:tc>
      </w:tr>
      <w:tr w:rsidR="00F67DEE" w:rsidTr="009E16CB">
        <w:tc>
          <w:tcPr>
            <w:tcW w:w="4621" w:type="dxa"/>
          </w:tcPr>
          <w:p w:rsidR="00F67DEE" w:rsidRPr="00A861F0" w:rsidRDefault="00F67DEE" w:rsidP="00FA46BB">
            <w:r w:rsidRPr="00A861F0">
              <w:t>Category B  (sectoral)</w:t>
            </w:r>
          </w:p>
        </w:tc>
        <w:tc>
          <w:tcPr>
            <w:tcW w:w="1299" w:type="dxa"/>
          </w:tcPr>
          <w:p w:rsidR="00F67DEE" w:rsidRPr="00A861F0" w:rsidRDefault="00405E4D" w:rsidP="00EF2491">
            <w:pPr>
              <w:jc w:val="right"/>
            </w:pPr>
            <w:r w:rsidRPr="00A861F0">
              <w:t xml:space="preserve">  </w:t>
            </w:r>
            <w:r w:rsidR="00A861F0">
              <w:t>123</w:t>
            </w:r>
          </w:p>
        </w:tc>
        <w:tc>
          <w:tcPr>
            <w:tcW w:w="2433" w:type="dxa"/>
          </w:tcPr>
          <w:p w:rsidR="00F67DEE" w:rsidRPr="00A861F0" w:rsidRDefault="00A84150" w:rsidP="00EF2491">
            <w:pPr>
              <w:jc w:val="right"/>
            </w:pPr>
            <w:r w:rsidRPr="00A861F0">
              <w:t>20,688</w:t>
            </w:r>
          </w:p>
        </w:tc>
      </w:tr>
      <w:tr w:rsidR="00F67DEE" w:rsidTr="009E16CB">
        <w:tc>
          <w:tcPr>
            <w:tcW w:w="4621" w:type="dxa"/>
          </w:tcPr>
          <w:p w:rsidR="00F67DEE" w:rsidRPr="00A861F0" w:rsidRDefault="00F67DEE" w:rsidP="00FA46BB">
            <w:r w:rsidRPr="00A861F0">
              <w:t>Category C (local single supplier)</w:t>
            </w:r>
          </w:p>
        </w:tc>
        <w:tc>
          <w:tcPr>
            <w:tcW w:w="1299" w:type="dxa"/>
          </w:tcPr>
          <w:p w:rsidR="00F67DEE" w:rsidRPr="00A861F0" w:rsidRDefault="00496082" w:rsidP="00353FA3">
            <w:pPr>
              <w:jc w:val="right"/>
            </w:pPr>
            <w:r w:rsidRPr="00A861F0">
              <w:t xml:space="preserve">  </w:t>
            </w:r>
            <w:r w:rsidR="00A861F0">
              <w:t>146</w:t>
            </w:r>
          </w:p>
        </w:tc>
        <w:tc>
          <w:tcPr>
            <w:tcW w:w="2433" w:type="dxa"/>
          </w:tcPr>
          <w:p w:rsidR="00F67DEE" w:rsidRPr="00A861F0" w:rsidRDefault="001B64F2" w:rsidP="009E16CB">
            <w:pPr>
              <w:jc w:val="right"/>
            </w:pPr>
            <w:r w:rsidRPr="00A861F0">
              <w:t>42,635</w:t>
            </w:r>
          </w:p>
        </w:tc>
      </w:tr>
      <w:tr w:rsidR="00F67DEE" w:rsidTr="009E16CB">
        <w:tc>
          <w:tcPr>
            <w:tcW w:w="4621" w:type="dxa"/>
          </w:tcPr>
          <w:p w:rsidR="00F67DEE" w:rsidRPr="00A861F0" w:rsidRDefault="00F67DEE" w:rsidP="00FA46BB">
            <w:r w:rsidRPr="00A861F0">
              <w:t>Category C (framework)</w:t>
            </w:r>
          </w:p>
        </w:tc>
        <w:tc>
          <w:tcPr>
            <w:tcW w:w="1299" w:type="dxa"/>
          </w:tcPr>
          <w:p w:rsidR="00F67DEE" w:rsidRPr="00A861F0" w:rsidRDefault="00A861F0" w:rsidP="009E16CB">
            <w:pPr>
              <w:jc w:val="right"/>
            </w:pPr>
            <w:r>
              <w:t xml:space="preserve"> 15</w:t>
            </w:r>
          </w:p>
        </w:tc>
        <w:tc>
          <w:tcPr>
            <w:tcW w:w="2433" w:type="dxa"/>
          </w:tcPr>
          <w:p w:rsidR="00F67DEE" w:rsidRPr="00A861F0" w:rsidRDefault="00A84150" w:rsidP="009E16CB">
            <w:pPr>
              <w:jc w:val="right"/>
            </w:pPr>
            <w:r w:rsidRPr="00A861F0">
              <w:t>10,723</w:t>
            </w:r>
          </w:p>
        </w:tc>
      </w:tr>
      <w:tr w:rsidR="006D34AA" w:rsidRPr="006D34AA" w:rsidTr="009E16CB">
        <w:tc>
          <w:tcPr>
            <w:tcW w:w="4621" w:type="dxa"/>
          </w:tcPr>
          <w:p w:rsidR="00F67DEE" w:rsidRPr="00A861F0" w:rsidRDefault="00F67DEE" w:rsidP="00FA46BB">
            <w:r w:rsidRPr="00A861F0">
              <w:t>Category C</w:t>
            </w:r>
            <w:r w:rsidR="00AF0AA5" w:rsidRPr="00A861F0">
              <w:t>1</w:t>
            </w:r>
            <w:r w:rsidRPr="00A861F0">
              <w:t xml:space="preserve"> (local collaboration)</w:t>
            </w:r>
          </w:p>
        </w:tc>
        <w:tc>
          <w:tcPr>
            <w:tcW w:w="1299" w:type="dxa"/>
          </w:tcPr>
          <w:p w:rsidR="00F67DEE" w:rsidRPr="00A861F0" w:rsidRDefault="00405E4D" w:rsidP="009E16CB">
            <w:pPr>
              <w:jc w:val="right"/>
            </w:pPr>
            <w:r w:rsidRPr="00A861F0">
              <w:t xml:space="preserve">  </w:t>
            </w:r>
            <w:r w:rsidR="00A861F0">
              <w:t>16</w:t>
            </w:r>
          </w:p>
        </w:tc>
        <w:tc>
          <w:tcPr>
            <w:tcW w:w="2433" w:type="dxa"/>
          </w:tcPr>
          <w:p w:rsidR="00F67DEE" w:rsidRPr="00A861F0" w:rsidRDefault="006D34AA" w:rsidP="009E16CB">
            <w:pPr>
              <w:jc w:val="right"/>
            </w:pPr>
            <w:r w:rsidRPr="00A861F0">
              <w:t xml:space="preserve">   </w:t>
            </w:r>
            <w:r w:rsidR="00A84150" w:rsidRPr="00A861F0">
              <w:t>1,781</w:t>
            </w:r>
          </w:p>
        </w:tc>
      </w:tr>
      <w:tr w:rsidR="006D34AA" w:rsidRPr="006D34AA" w:rsidTr="009E16CB">
        <w:tc>
          <w:tcPr>
            <w:tcW w:w="4621" w:type="dxa"/>
          </w:tcPr>
          <w:p w:rsidR="00F67DEE" w:rsidRPr="00A861F0" w:rsidRDefault="00F02B64" w:rsidP="00FA46BB">
            <w:r w:rsidRPr="00A861F0">
              <w:t>Cate</w:t>
            </w:r>
            <w:r w:rsidR="00F67DEE" w:rsidRPr="00A861F0">
              <w:t>gory O (other)</w:t>
            </w:r>
          </w:p>
        </w:tc>
        <w:tc>
          <w:tcPr>
            <w:tcW w:w="1299" w:type="dxa"/>
          </w:tcPr>
          <w:p w:rsidR="00F67DEE" w:rsidRPr="00A861F0" w:rsidRDefault="00405E4D" w:rsidP="009E16CB">
            <w:pPr>
              <w:jc w:val="right"/>
            </w:pPr>
            <w:r w:rsidRPr="00A861F0">
              <w:t xml:space="preserve"> </w:t>
            </w:r>
            <w:r w:rsidR="00A861F0">
              <w:t>83</w:t>
            </w:r>
            <w:r w:rsidR="00A95152" w:rsidRPr="00A861F0">
              <w:t xml:space="preserve"> </w:t>
            </w:r>
          </w:p>
        </w:tc>
        <w:tc>
          <w:tcPr>
            <w:tcW w:w="2433" w:type="dxa"/>
          </w:tcPr>
          <w:p w:rsidR="00F67DEE" w:rsidRPr="00A861F0" w:rsidRDefault="001B64F2" w:rsidP="009E16CB">
            <w:pPr>
              <w:jc w:val="right"/>
            </w:pPr>
            <w:r w:rsidRPr="00A861F0">
              <w:t>18,363</w:t>
            </w:r>
          </w:p>
        </w:tc>
      </w:tr>
      <w:tr w:rsidR="00F67DEE" w:rsidTr="009E16CB">
        <w:tc>
          <w:tcPr>
            <w:tcW w:w="4621" w:type="dxa"/>
          </w:tcPr>
          <w:p w:rsidR="00F67DEE" w:rsidRPr="00A861F0" w:rsidRDefault="00F67DEE" w:rsidP="00FA46BB">
            <w:r w:rsidRPr="00A861F0">
              <w:t xml:space="preserve">Non advertised </w:t>
            </w:r>
          </w:p>
        </w:tc>
        <w:tc>
          <w:tcPr>
            <w:tcW w:w="1299" w:type="dxa"/>
          </w:tcPr>
          <w:p w:rsidR="00F67DEE" w:rsidRPr="00A861F0" w:rsidRDefault="00A861F0" w:rsidP="009E16CB">
            <w:pPr>
              <w:jc w:val="right"/>
            </w:pPr>
            <w:r w:rsidRPr="00A861F0">
              <w:t>107</w:t>
            </w:r>
          </w:p>
        </w:tc>
        <w:tc>
          <w:tcPr>
            <w:tcW w:w="2433" w:type="dxa"/>
          </w:tcPr>
          <w:p w:rsidR="00F67DEE" w:rsidRPr="00A861F0" w:rsidRDefault="00A84150" w:rsidP="00353FA3">
            <w:pPr>
              <w:jc w:val="right"/>
            </w:pPr>
            <w:r w:rsidRPr="00A861F0">
              <w:t>31,649</w:t>
            </w:r>
          </w:p>
        </w:tc>
      </w:tr>
      <w:tr w:rsidR="00A861F0" w:rsidTr="009E16CB">
        <w:tc>
          <w:tcPr>
            <w:tcW w:w="4621" w:type="dxa"/>
          </w:tcPr>
          <w:p w:rsidR="00A861F0" w:rsidRPr="00A861F0" w:rsidRDefault="00A861F0" w:rsidP="00FA46BB">
            <w:pPr>
              <w:rPr>
                <w:b/>
              </w:rPr>
            </w:pPr>
            <w:r w:rsidRPr="00A861F0">
              <w:rPr>
                <w:b/>
              </w:rPr>
              <w:t>2020/2021 Total</w:t>
            </w:r>
          </w:p>
        </w:tc>
        <w:tc>
          <w:tcPr>
            <w:tcW w:w="1299" w:type="dxa"/>
          </w:tcPr>
          <w:p w:rsidR="00A861F0" w:rsidRPr="00A861F0" w:rsidRDefault="00A861F0" w:rsidP="009E16CB">
            <w:pPr>
              <w:jc w:val="right"/>
            </w:pPr>
            <w:r w:rsidRPr="00A861F0">
              <w:t>516</w:t>
            </w:r>
          </w:p>
        </w:tc>
        <w:tc>
          <w:tcPr>
            <w:tcW w:w="2433" w:type="dxa"/>
          </w:tcPr>
          <w:p w:rsidR="00A861F0" w:rsidRPr="00A861F0" w:rsidRDefault="00A861F0" w:rsidP="00353FA3">
            <w:pPr>
              <w:jc w:val="right"/>
            </w:pPr>
            <w:r w:rsidRPr="00A861F0">
              <w:t>130,499</w:t>
            </w:r>
          </w:p>
        </w:tc>
      </w:tr>
      <w:tr w:rsidR="001B64F2" w:rsidTr="009E16CB">
        <w:tc>
          <w:tcPr>
            <w:tcW w:w="4621" w:type="dxa"/>
          </w:tcPr>
          <w:p w:rsidR="001B64F2" w:rsidRPr="00A861F0" w:rsidRDefault="001B64F2" w:rsidP="00FA46BB">
            <w:pPr>
              <w:rPr>
                <w:b/>
              </w:rPr>
            </w:pPr>
            <w:r w:rsidRPr="00A861F0">
              <w:rPr>
                <w:b/>
              </w:rPr>
              <w:t xml:space="preserve">2019/20 Total </w:t>
            </w:r>
          </w:p>
        </w:tc>
        <w:tc>
          <w:tcPr>
            <w:tcW w:w="1299" w:type="dxa"/>
          </w:tcPr>
          <w:p w:rsidR="001B64F2" w:rsidRPr="00A861F0" w:rsidRDefault="001B64F2" w:rsidP="009E16CB">
            <w:pPr>
              <w:jc w:val="right"/>
              <w:rPr>
                <w:b/>
              </w:rPr>
            </w:pPr>
            <w:r w:rsidRPr="00A861F0">
              <w:rPr>
                <w:b/>
              </w:rPr>
              <w:t>599</w:t>
            </w:r>
          </w:p>
        </w:tc>
        <w:tc>
          <w:tcPr>
            <w:tcW w:w="2433" w:type="dxa"/>
          </w:tcPr>
          <w:p w:rsidR="001B64F2" w:rsidRPr="00A861F0" w:rsidRDefault="001B64F2" w:rsidP="00353FA3">
            <w:pPr>
              <w:jc w:val="right"/>
              <w:rPr>
                <w:b/>
              </w:rPr>
            </w:pPr>
            <w:r w:rsidRPr="00A861F0">
              <w:rPr>
                <w:b/>
              </w:rPr>
              <w:t>133,651</w:t>
            </w:r>
          </w:p>
        </w:tc>
      </w:tr>
      <w:tr w:rsidR="00DB6529" w:rsidRPr="00157B77" w:rsidTr="009E16CB">
        <w:tc>
          <w:tcPr>
            <w:tcW w:w="4621" w:type="dxa"/>
          </w:tcPr>
          <w:p w:rsidR="009E16CB" w:rsidRPr="00A861F0" w:rsidRDefault="00796BF6" w:rsidP="00FA46BB">
            <w:pPr>
              <w:rPr>
                <w:b/>
              </w:rPr>
            </w:pPr>
            <w:r w:rsidRPr="00A861F0">
              <w:rPr>
                <w:b/>
              </w:rPr>
              <w:t xml:space="preserve">2018/19 </w:t>
            </w:r>
            <w:r w:rsidR="009E16CB" w:rsidRPr="00A861F0">
              <w:rPr>
                <w:b/>
              </w:rPr>
              <w:t>Total</w:t>
            </w:r>
          </w:p>
        </w:tc>
        <w:tc>
          <w:tcPr>
            <w:tcW w:w="1299" w:type="dxa"/>
          </w:tcPr>
          <w:p w:rsidR="009E16CB" w:rsidRPr="00A861F0" w:rsidRDefault="00353FA3" w:rsidP="00EF2491">
            <w:pPr>
              <w:jc w:val="right"/>
              <w:rPr>
                <w:b/>
              </w:rPr>
            </w:pPr>
            <w:r w:rsidRPr="00A861F0">
              <w:rPr>
                <w:b/>
              </w:rPr>
              <w:t>522</w:t>
            </w:r>
            <w:r w:rsidR="00485B1D" w:rsidRPr="00A861F0">
              <w:rPr>
                <w:b/>
              </w:rPr>
              <w:t xml:space="preserve"> </w:t>
            </w:r>
          </w:p>
        </w:tc>
        <w:tc>
          <w:tcPr>
            <w:tcW w:w="2433" w:type="dxa"/>
          </w:tcPr>
          <w:p w:rsidR="009E16CB" w:rsidRPr="00A861F0" w:rsidRDefault="00353FA3" w:rsidP="00EF2491">
            <w:pPr>
              <w:jc w:val="right"/>
              <w:rPr>
                <w:b/>
              </w:rPr>
            </w:pPr>
            <w:r w:rsidRPr="00A861F0">
              <w:rPr>
                <w:b/>
              </w:rPr>
              <w:t>168,614</w:t>
            </w:r>
            <w:r w:rsidR="00796BF6" w:rsidRPr="00A861F0">
              <w:rPr>
                <w:b/>
              </w:rPr>
              <w:t xml:space="preserve">  </w:t>
            </w:r>
          </w:p>
        </w:tc>
      </w:tr>
      <w:tr w:rsidR="00796BF6" w:rsidRPr="00157B77" w:rsidTr="009E16CB">
        <w:tc>
          <w:tcPr>
            <w:tcW w:w="4621" w:type="dxa"/>
          </w:tcPr>
          <w:p w:rsidR="00796BF6" w:rsidRPr="00A861F0" w:rsidRDefault="00796BF6" w:rsidP="00FA46BB">
            <w:pPr>
              <w:rPr>
                <w:b/>
              </w:rPr>
            </w:pPr>
            <w:r w:rsidRPr="00A861F0">
              <w:rPr>
                <w:b/>
              </w:rPr>
              <w:t>2017/18 Total</w:t>
            </w:r>
          </w:p>
        </w:tc>
        <w:tc>
          <w:tcPr>
            <w:tcW w:w="1299" w:type="dxa"/>
          </w:tcPr>
          <w:p w:rsidR="00796BF6" w:rsidRPr="00A861F0" w:rsidRDefault="00796BF6" w:rsidP="001B64F2">
            <w:pPr>
              <w:jc w:val="right"/>
              <w:rPr>
                <w:b/>
              </w:rPr>
            </w:pPr>
            <w:r w:rsidRPr="00A861F0">
              <w:rPr>
                <w:b/>
              </w:rPr>
              <w:t xml:space="preserve"> 476</w:t>
            </w:r>
          </w:p>
        </w:tc>
        <w:tc>
          <w:tcPr>
            <w:tcW w:w="2433" w:type="dxa"/>
          </w:tcPr>
          <w:p w:rsidR="00796BF6" w:rsidRPr="00A861F0" w:rsidRDefault="00796BF6" w:rsidP="00796BF6">
            <w:pPr>
              <w:jc w:val="right"/>
              <w:rPr>
                <w:b/>
              </w:rPr>
            </w:pPr>
            <w:r w:rsidRPr="00A861F0">
              <w:rPr>
                <w:b/>
              </w:rPr>
              <w:t>142,891</w:t>
            </w:r>
          </w:p>
        </w:tc>
      </w:tr>
      <w:tr w:rsidR="00353FA3" w:rsidRPr="00157B77" w:rsidTr="00353FA3">
        <w:tc>
          <w:tcPr>
            <w:tcW w:w="4621" w:type="dxa"/>
            <w:shd w:val="clear" w:color="auto" w:fill="DBE5F1" w:themeFill="accent1" w:themeFillTint="33"/>
          </w:tcPr>
          <w:p w:rsidR="00353FA3" w:rsidRPr="007A4F8B" w:rsidRDefault="00353FA3" w:rsidP="00FA46BB">
            <w:pPr>
              <w:rPr>
                <w:b/>
                <w:color w:val="FF0000"/>
              </w:rPr>
            </w:pPr>
          </w:p>
        </w:tc>
        <w:tc>
          <w:tcPr>
            <w:tcW w:w="1299" w:type="dxa"/>
            <w:shd w:val="clear" w:color="auto" w:fill="DBE5F1" w:themeFill="accent1" w:themeFillTint="33"/>
          </w:tcPr>
          <w:p w:rsidR="00353FA3" w:rsidRPr="007A4F8B" w:rsidRDefault="00353FA3" w:rsidP="00EF2491">
            <w:pPr>
              <w:jc w:val="right"/>
              <w:rPr>
                <w:b/>
                <w:color w:val="FF0000"/>
              </w:rPr>
            </w:pPr>
          </w:p>
        </w:tc>
        <w:tc>
          <w:tcPr>
            <w:tcW w:w="2433" w:type="dxa"/>
            <w:shd w:val="clear" w:color="auto" w:fill="DBE5F1" w:themeFill="accent1" w:themeFillTint="33"/>
          </w:tcPr>
          <w:p w:rsidR="00353FA3" w:rsidRPr="007A4F8B" w:rsidRDefault="00353FA3" w:rsidP="00EF2491">
            <w:pPr>
              <w:jc w:val="right"/>
              <w:rPr>
                <w:b/>
                <w:color w:val="FF0000"/>
              </w:rPr>
            </w:pPr>
          </w:p>
        </w:tc>
      </w:tr>
      <w:tr w:rsidR="00353FA3" w:rsidRPr="00353FA3" w:rsidTr="009E16CB">
        <w:tc>
          <w:tcPr>
            <w:tcW w:w="4621" w:type="dxa"/>
          </w:tcPr>
          <w:p w:rsidR="00353FA3" w:rsidRPr="00A861F0" w:rsidRDefault="00353FA3" w:rsidP="00A861F0">
            <w:r w:rsidRPr="00A861F0">
              <w:t>Quick Quotes</w:t>
            </w:r>
            <w:r w:rsidR="00A861F0">
              <w:t xml:space="preserve"> and Mini competitions</w:t>
            </w:r>
          </w:p>
        </w:tc>
        <w:tc>
          <w:tcPr>
            <w:tcW w:w="1299" w:type="dxa"/>
          </w:tcPr>
          <w:p w:rsidR="00353FA3" w:rsidRPr="00A861F0" w:rsidRDefault="00A861F0" w:rsidP="00EF2491">
            <w:pPr>
              <w:jc w:val="right"/>
            </w:pPr>
            <w:r>
              <w:t>52</w:t>
            </w:r>
          </w:p>
        </w:tc>
        <w:tc>
          <w:tcPr>
            <w:tcW w:w="2433" w:type="dxa"/>
          </w:tcPr>
          <w:p w:rsidR="00353FA3" w:rsidRPr="00A861F0" w:rsidRDefault="00A861F0" w:rsidP="00EF2491">
            <w:pPr>
              <w:jc w:val="right"/>
            </w:pPr>
            <w:r>
              <w:t>821</w:t>
            </w:r>
          </w:p>
        </w:tc>
      </w:tr>
    </w:tbl>
    <w:p w:rsidR="000B2EE4" w:rsidRDefault="000B2EE4" w:rsidP="000B2EE4"/>
    <w:p w:rsidR="000B2EE4" w:rsidRPr="003F7637" w:rsidRDefault="000B2EE4" w:rsidP="000B2EE4">
      <w:r>
        <w:t xml:space="preserve">In </w:t>
      </w:r>
      <w:r w:rsidRPr="00A861F0">
        <w:t>total there are</w:t>
      </w:r>
      <w:r w:rsidR="000303EA" w:rsidRPr="00A861F0">
        <w:t xml:space="preserve"> </w:t>
      </w:r>
      <w:r w:rsidR="00A861F0" w:rsidRPr="00A861F0">
        <w:t>516</w:t>
      </w:r>
      <w:r w:rsidRPr="00A861F0">
        <w:t xml:space="preserve"> </w:t>
      </w:r>
      <w:r>
        <w:t xml:space="preserve">live contracts listed in the Council’s contract register; of these </w:t>
      </w:r>
      <w:r w:rsidR="003F7637">
        <w:t>132</w:t>
      </w:r>
      <w:r w:rsidR="001B64F2">
        <w:t xml:space="preserve"> </w:t>
      </w:r>
      <w:r w:rsidRPr="00A12103">
        <w:t>were awarded</w:t>
      </w:r>
      <w:r w:rsidR="0090368B">
        <w:t xml:space="preserve"> or added to the register </w:t>
      </w:r>
      <w:r w:rsidRPr="00A12103">
        <w:t xml:space="preserve">in the </w:t>
      </w:r>
      <w:r w:rsidR="007A4F8B">
        <w:t>year 2020</w:t>
      </w:r>
      <w:r w:rsidR="002D24E7">
        <w:t>/</w:t>
      </w:r>
      <w:r w:rsidR="007A4F8B">
        <w:t>21</w:t>
      </w:r>
      <w:r w:rsidR="003F7637">
        <w:t>.  This is significantly down on the previous year when 240 new contracts were awarded</w:t>
      </w:r>
      <w:r w:rsidR="00A04D5E">
        <w:t>.</w:t>
      </w:r>
    </w:p>
    <w:p w:rsidR="00087EDA" w:rsidRDefault="00087EDA" w:rsidP="00FA46BB"/>
    <w:p w:rsidR="00AF0AA5" w:rsidRDefault="00AF0AA5" w:rsidP="00FA46BB">
      <w:pPr>
        <w:rPr>
          <w:i/>
        </w:rPr>
      </w:pPr>
      <w:r w:rsidRPr="00AF0AA5">
        <w:rPr>
          <w:i/>
        </w:rPr>
        <w:t>Commentary on performance</w:t>
      </w:r>
      <w:r w:rsidR="00E46430">
        <w:rPr>
          <w:i/>
        </w:rPr>
        <w:t>:</w:t>
      </w:r>
    </w:p>
    <w:p w:rsidR="001B64F2" w:rsidRPr="00902DDC" w:rsidRDefault="001B64F2" w:rsidP="00FA46BB">
      <w:pPr>
        <w:rPr>
          <w:i/>
        </w:rPr>
      </w:pPr>
    </w:p>
    <w:p w:rsidR="001C08AB" w:rsidRPr="007A4F8B" w:rsidRDefault="0024688A" w:rsidP="001C08AB">
      <w:pPr>
        <w:rPr>
          <w:i/>
          <w:color w:val="FF0000"/>
        </w:rPr>
      </w:pPr>
      <w:r>
        <w:rPr>
          <w:i/>
        </w:rPr>
        <w:lastRenderedPageBreak/>
        <w:t>Whilst we have seen a</w:t>
      </w:r>
      <w:r w:rsidR="003F7637" w:rsidRPr="00902DDC">
        <w:rPr>
          <w:i/>
        </w:rPr>
        <w:t xml:space="preserve"> year on year increase in contractual volume since</w:t>
      </w:r>
      <w:r w:rsidR="00561386" w:rsidRPr="00902DDC">
        <w:rPr>
          <w:i/>
        </w:rPr>
        <w:t xml:space="preserve"> 2017/18</w:t>
      </w:r>
      <w:r w:rsidR="00282B34">
        <w:rPr>
          <w:i/>
        </w:rPr>
        <w:t xml:space="preserve"> mainly down to the increasing use of mini competitions and call offs from frameworks, </w:t>
      </w:r>
      <w:r w:rsidR="00561386" w:rsidRPr="00902DDC">
        <w:rPr>
          <w:i/>
        </w:rPr>
        <w:t xml:space="preserve"> </w:t>
      </w:r>
      <w:r w:rsidR="00902DDC" w:rsidRPr="00902DDC">
        <w:rPr>
          <w:i/>
        </w:rPr>
        <w:t>this stalled during 2</w:t>
      </w:r>
      <w:r>
        <w:rPr>
          <w:i/>
        </w:rPr>
        <w:t>0</w:t>
      </w:r>
      <w:r w:rsidR="00902DDC" w:rsidRPr="00902DDC">
        <w:rPr>
          <w:i/>
        </w:rPr>
        <w:t>20/2021 due to the pandemic with little work being done at a local level.</w:t>
      </w:r>
      <w:r w:rsidR="00A07638" w:rsidRPr="00902DDC">
        <w:rPr>
          <w:i/>
        </w:rPr>
        <w:t xml:space="preserve">  </w:t>
      </w:r>
      <w:r w:rsidR="001C08AB" w:rsidRPr="00902DDC">
        <w:rPr>
          <w:i/>
        </w:rPr>
        <w:t xml:space="preserve">Category “C” contracts (local council </w:t>
      </w:r>
      <w:r w:rsidR="001C08AB">
        <w:rPr>
          <w:i/>
        </w:rPr>
        <w:t xml:space="preserve">developed </w:t>
      </w:r>
      <w:r w:rsidR="001C08AB" w:rsidRPr="00902DDC">
        <w:rPr>
          <w:i/>
        </w:rPr>
        <w:t>contracts) reduced to 45 from 148 in the prior year</w:t>
      </w:r>
      <w:r w:rsidR="001C08AB">
        <w:rPr>
          <w:i/>
          <w:color w:val="FF0000"/>
        </w:rPr>
        <w:t>.</w:t>
      </w:r>
    </w:p>
    <w:p w:rsidR="00561386" w:rsidRPr="007A4F8B" w:rsidRDefault="00CF5BF9" w:rsidP="00561386">
      <w:pPr>
        <w:rPr>
          <w:i/>
          <w:color w:val="FF0000"/>
        </w:rPr>
      </w:pPr>
      <w:r>
        <w:rPr>
          <w:i/>
        </w:rPr>
        <w:t>With</w:t>
      </w:r>
      <w:r w:rsidR="00E376EC">
        <w:rPr>
          <w:i/>
        </w:rPr>
        <w:t xml:space="preserve"> the procurement team essentially only working on emergency contracts and supplier relief during the first half of the year this led to a significant backlog of work which continues to be worked</w:t>
      </w:r>
      <w:r w:rsidR="001C08AB">
        <w:rPr>
          <w:i/>
        </w:rPr>
        <w:t xml:space="preserve"> on</w:t>
      </w:r>
      <w:r w:rsidR="00E376EC">
        <w:rPr>
          <w:i/>
        </w:rPr>
        <w:t xml:space="preserve"> through</w:t>
      </w:r>
      <w:r w:rsidR="001C08AB">
        <w:rPr>
          <w:i/>
        </w:rPr>
        <w:t>out</w:t>
      </w:r>
      <w:r w:rsidR="00B334AA">
        <w:rPr>
          <w:i/>
        </w:rPr>
        <w:t xml:space="preserve"> 2021</w:t>
      </w:r>
      <w:r w:rsidR="00E376EC">
        <w:rPr>
          <w:i/>
        </w:rPr>
        <w:t>.  In addition to this the emergency extensions to contracts required during the pandemic are now starting to expire for a second time adding to the overall work plan.</w:t>
      </w:r>
      <w:r>
        <w:rPr>
          <w:i/>
        </w:rPr>
        <w:t xml:space="preserve"> </w:t>
      </w:r>
      <w:r w:rsidR="001C08AB">
        <w:rPr>
          <w:i/>
        </w:rPr>
        <w:t xml:space="preserve">  </w:t>
      </w:r>
    </w:p>
    <w:p w:rsidR="00547C20" w:rsidRDefault="00547C20" w:rsidP="00EB09BC">
      <w:pPr>
        <w:rPr>
          <w:i/>
        </w:rPr>
      </w:pPr>
    </w:p>
    <w:p w:rsidR="00157B77" w:rsidRPr="006D34AA" w:rsidRDefault="00157B77" w:rsidP="00FA46BB"/>
    <w:tbl>
      <w:tblPr>
        <w:tblStyle w:val="TableGrid"/>
        <w:tblW w:w="0" w:type="auto"/>
        <w:shd w:val="clear" w:color="auto" w:fill="DBE5F1" w:themeFill="accent1" w:themeFillTint="33"/>
        <w:tblLook w:val="04A0" w:firstRow="1" w:lastRow="0" w:firstColumn="1" w:lastColumn="0" w:noHBand="0" w:noVBand="1"/>
      </w:tblPr>
      <w:tblGrid>
        <w:gridCol w:w="9016"/>
      </w:tblGrid>
      <w:tr w:rsidR="00F67DEE" w:rsidRPr="00F67DEE" w:rsidTr="00F67DEE">
        <w:tc>
          <w:tcPr>
            <w:tcW w:w="9242" w:type="dxa"/>
            <w:shd w:val="clear" w:color="auto" w:fill="DBE5F1" w:themeFill="accent1" w:themeFillTint="33"/>
          </w:tcPr>
          <w:p w:rsidR="00F67DEE" w:rsidRPr="00F67DEE" w:rsidRDefault="00F67DEE" w:rsidP="00FA46BB">
            <w:pPr>
              <w:rPr>
                <w:b/>
              </w:rPr>
            </w:pPr>
            <w:r w:rsidRPr="00F67DEE">
              <w:rPr>
                <w:b/>
              </w:rPr>
              <w:t>SECTION 2 – REVIEW OF REGULATED PROCUREMENT COMPLIANCE</w:t>
            </w:r>
          </w:p>
        </w:tc>
      </w:tr>
    </w:tbl>
    <w:p w:rsidR="00405E4D" w:rsidRDefault="00405E4D"/>
    <w:p w:rsidR="00505B9F" w:rsidRPr="00505B9F" w:rsidRDefault="00505B9F">
      <w:pPr>
        <w:rPr>
          <w:b/>
          <w:u w:val="single"/>
        </w:rPr>
      </w:pPr>
      <w:r w:rsidRPr="00505B9F">
        <w:rPr>
          <w:b/>
          <w:u w:val="single"/>
        </w:rPr>
        <w:t>Compliance</w:t>
      </w:r>
    </w:p>
    <w:p w:rsidR="00505B9F" w:rsidRDefault="00505B9F"/>
    <w:p w:rsidR="00505B9F" w:rsidRDefault="00505B9F">
      <w:r>
        <w:t xml:space="preserve">The Council’s procurement procedures </w:t>
      </w:r>
      <w:r w:rsidR="0063703D">
        <w:t>requires</w:t>
      </w:r>
      <w:r>
        <w:t xml:space="preserve"> corporate support for all regulated procurements (tenders over £50,000) and the corporate team also review any Quick Quotes  (projects under £50,000) before publication.  This scrutiny delivers a high level of compliance to all regulation both national and </w:t>
      </w:r>
      <w:r w:rsidR="0063703D">
        <w:t>C</w:t>
      </w:r>
      <w:r>
        <w:t>ouncil.  All procurements have an individual strategy development stage which considers the requirements, the options, the potential for added value and the inclusion of the wider opportunities.  This includes a focus on mandatory exclusions, serious and organised crime links, supplier development opportunities, Fair work first, climate and innovation.</w:t>
      </w:r>
    </w:p>
    <w:p w:rsidR="00505B9F" w:rsidRPr="0063703D" w:rsidRDefault="00505B9F"/>
    <w:p w:rsidR="00B334AA" w:rsidRPr="0063703D" w:rsidRDefault="00B334AA">
      <w:pPr>
        <w:rPr>
          <w:b/>
          <w:u w:val="single"/>
        </w:rPr>
      </w:pPr>
      <w:r w:rsidRPr="0063703D">
        <w:rPr>
          <w:b/>
          <w:u w:val="single"/>
        </w:rPr>
        <w:t>Performance</w:t>
      </w:r>
    </w:p>
    <w:p w:rsidR="00B334AA" w:rsidRDefault="00B334AA">
      <w:pPr>
        <w:rPr>
          <w:b/>
        </w:rPr>
      </w:pPr>
    </w:p>
    <w:p w:rsidR="0023148B" w:rsidRDefault="00F8552E">
      <w:r>
        <w:rPr>
          <w:b/>
        </w:rPr>
        <w:t>APPENDIX 1</w:t>
      </w:r>
      <w:r w:rsidR="0023148B">
        <w:t xml:space="preserve"> provides the performance resu</w:t>
      </w:r>
      <w:r w:rsidR="009E16CB">
        <w:t xml:space="preserve">lts against the Council’s </w:t>
      </w:r>
      <w:r w:rsidR="0023148B">
        <w:t xml:space="preserve">Procurement Strategic Action Plan </w:t>
      </w:r>
      <w:r w:rsidR="007A4F8B">
        <w:t>for 2020/2021</w:t>
      </w:r>
      <w:r w:rsidR="00A17970">
        <w:t>,</w:t>
      </w:r>
      <w:r w:rsidR="008C0258">
        <w:t xml:space="preserve"> </w:t>
      </w:r>
      <w:r w:rsidR="002D24E7">
        <w:t xml:space="preserve">which is </w:t>
      </w:r>
      <w:r w:rsidR="0023148B">
        <w:t>split between the Procure</w:t>
      </w:r>
      <w:r w:rsidR="006449F3">
        <w:t>ment Commercial Improvement Programme</w:t>
      </w:r>
      <w:r w:rsidR="005F6253">
        <w:t xml:space="preserve"> (PCIP)</w:t>
      </w:r>
      <w:r w:rsidR="008C0258">
        <w:t xml:space="preserve"> </w:t>
      </w:r>
      <w:r w:rsidR="00405E4D">
        <w:t xml:space="preserve">objectives </w:t>
      </w:r>
      <w:r w:rsidR="0023148B">
        <w:t>and the Procurement Strategy measures.  An update and comment on performance is given a</w:t>
      </w:r>
      <w:r w:rsidR="00405E4D">
        <w:t>n</w:t>
      </w:r>
      <w:r w:rsidR="0023148B">
        <w:t xml:space="preserve">d where improvements are still </w:t>
      </w:r>
      <w:r w:rsidR="002144B2">
        <w:t>required,</w:t>
      </w:r>
      <w:r w:rsidR="0023148B">
        <w:t xml:space="preserve"> the relevant actions </w:t>
      </w:r>
      <w:r w:rsidR="002144B2">
        <w:t>have</w:t>
      </w:r>
      <w:r w:rsidR="0023148B">
        <w:t xml:space="preserve"> been identified.</w:t>
      </w:r>
    </w:p>
    <w:p w:rsidR="0067029D" w:rsidRDefault="0067029D"/>
    <w:p w:rsidR="00C37507" w:rsidRDefault="0067029D">
      <w:pPr>
        <w:rPr>
          <w:i/>
        </w:rPr>
      </w:pPr>
      <w:r>
        <w:rPr>
          <w:i/>
        </w:rPr>
        <w:t>Commentary on performance</w:t>
      </w:r>
      <w:r w:rsidR="00A17970">
        <w:rPr>
          <w:i/>
        </w:rPr>
        <w:t>:</w:t>
      </w:r>
    </w:p>
    <w:p w:rsidR="00075D2C" w:rsidRPr="0067029D" w:rsidRDefault="00075D2C">
      <w:pPr>
        <w:rPr>
          <w:i/>
        </w:rPr>
      </w:pPr>
    </w:p>
    <w:p w:rsidR="00F8552E" w:rsidRPr="00AB1980" w:rsidRDefault="00902DDC" w:rsidP="00F8552E">
      <w:pPr>
        <w:rPr>
          <w:i/>
        </w:rPr>
      </w:pPr>
      <w:r w:rsidRPr="00AB1980">
        <w:rPr>
          <w:i/>
        </w:rPr>
        <w:t xml:space="preserve">Very little progress has been made against the </w:t>
      </w:r>
      <w:r w:rsidR="00AB1980" w:rsidRPr="00AB1980">
        <w:rPr>
          <w:i/>
        </w:rPr>
        <w:t>ten actions identified with only three now complete.  Work continues with another two but the remaining actions have stalled due to</w:t>
      </w:r>
      <w:r w:rsidR="00A03D64">
        <w:rPr>
          <w:i/>
        </w:rPr>
        <w:t xml:space="preserve"> the pandemic, </w:t>
      </w:r>
      <w:r w:rsidR="002B445F">
        <w:rPr>
          <w:i/>
        </w:rPr>
        <w:t xml:space="preserve">lack of </w:t>
      </w:r>
      <w:r w:rsidR="00A03D64">
        <w:rPr>
          <w:i/>
        </w:rPr>
        <w:t>resources</w:t>
      </w:r>
      <w:r w:rsidR="00B334AA">
        <w:rPr>
          <w:i/>
        </w:rPr>
        <w:t>, backlog of workload</w:t>
      </w:r>
      <w:r w:rsidR="00A03D64">
        <w:rPr>
          <w:i/>
        </w:rPr>
        <w:t xml:space="preserve"> and a</w:t>
      </w:r>
      <w:r w:rsidR="00AB1980" w:rsidRPr="00AB1980">
        <w:rPr>
          <w:i/>
        </w:rPr>
        <w:t xml:space="preserve"> resultant review of priorities.</w:t>
      </w:r>
    </w:p>
    <w:p w:rsidR="00F8552E" w:rsidRPr="007A4F8B" w:rsidRDefault="00F8552E">
      <w:pPr>
        <w:rPr>
          <w:i/>
          <w:color w:val="FF0000"/>
        </w:rPr>
      </w:pPr>
    </w:p>
    <w:p w:rsidR="001C6FCA" w:rsidRDefault="000210C2">
      <w:pPr>
        <w:rPr>
          <w:i/>
        </w:rPr>
      </w:pPr>
      <w:r w:rsidRPr="000210C2">
        <w:rPr>
          <w:i/>
        </w:rPr>
        <w:t>However, it should be recognised that the Procurement team have supported the emergency work required during the pandemic lockdown, provided a lead for H&amp;SC supplier relief claims</w:t>
      </w:r>
      <w:r>
        <w:rPr>
          <w:i/>
        </w:rPr>
        <w:t xml:space="preserve"> and</w:t>
      </w:r>
      <w:r w:rsidRPr="000210C2">
        <w:rPr>
          <w:i/>
        </w:rPr>
        <w:t xml:space="preserve"> </w:t>
      </w:r>
      <w:r>
        <w:rPr>
          <w:i/>
        </w:rPr>
        <w:t>upon return to operational work last year they have</w:t>
      </w:r>
      <w:r w:rsidR="00A03D64">
        <w:rPr>
          <w:i/>
        </w:rPr>
        <w:t xml:space="preserve"> picked up the suspended work and</w:t>
      </w:r>
      <w:r>
        <w:rPr>
          <w:i/>
        </w:rPr>
        <w:t xml:space="preserve"> </w:t>
      </w:r>
      <w:r w:rsidRPr="000210C2">
        <w:rPr>
          <w:i/>
        </w:rPr>
        <w:t>progressed the planned</w:t>
      </w:r>
      <w:r>
        <w:rPr>
          <w:i/>
        </w:rPr>
        <w:t xml:space="preserve"> procurement</w:t>
      </w:r>
      <w:r w:rsidRPr="000210C2">
        <w:rPr>
          <w:i/>
        </w:rPr>
        <w:t xml:space="preserve"> projects (where d</w:t>
      </w:r>
      <w:r>
        <w:rPr>
          <w:i/>
        </w:rPr>
        <w:t>epartmental resources allowed).</w:t>
      </w:r>
    </w:p>
    <w:p w:rsidR="000210C2" w:rsidRPr="000210C2" w:rsidRDefault="000210C2">
      <w:pPr>
        <w:rPr>
          <w:i/>
        </w:rPr>
      </w:pPr>
    </w:p>
    <w:p w:rsidR="003D30B1" w:rsidRPr="000210C2" w:rsidRDefault="00A87C41">
      <w:pPr>
        <w:rPr>
          <w:i/>
        </w:rPr>
      </w:pPr>
      <w:r w:rsidRPr="000210C2">
        <w:rPr>
          <w:i/>
        </w:rPr>
        <w:t xml:space="preserve">Section 2 of the action plan concentrates on measurements that will support the </w:t>
      </w:r>
      <w:r w:rsidR="00C634E4" w:rsidRPr="000210C2">
        <w:rPr>
          <w:i/>
        </w:rPr>
        <w:t xml:space="preserve">delivery of the Procurement Strategy.  </w:t>
      </w:r>
    </w:p>
    <w:p w:rsidR="0023148B" w:rsidRDefault="0023148B"/>
    <w:p w:rsidR="00B334AA" w:rsidRPr="0063703D" w:rsidRDefault="00B334AA">
      <w:pPr>
        <w:rPr>
          <w:u w:val="single"/>
        </w:rPr>
      </w:pPr>
      <w:r w:rsidRPr="0063703D">
        <w:rPr>
          <w:u w:val="single"/>
        </w:rPr>
        <w:t>Non cash benefits</w:t>
      </w:r>
    </w:p>
    <w:p w:rsidR="00B334AA" w:rsidRDefault="00B334AA"/>
    <w:p w:rsidR="00B334AA" w:rsidRDefault="00B334AA" w:rsidP="00B334AA">
      <w:r>
        <w:t>The Council considers a wide range of non-cash benefits when develop</w:t>
      </w:r>
      <w:r w:rsidR="0063703D">
        <w:t>ing</w:t>
      </w:r>
      <w:r>
        <w:t xml:space="preserve"> a tender specification</w:t>
      </w:r>
      <w:r w:rsidR="0063703D">
        <w:t>:</w:t>
      </w:r>
      <w:r>
        <w:t xml:space="preserve"> the range is wider than just the social, environmental or economic factors (also referred to as community benefits</w:t>
      </w:r>
      <w:r w:rsidR="0063703D">
        <w:t>)</w:t>
      </w:r>
      <w:r>
        <w:t xml:space="preserve"> that is required by the Act and incorporates added value benefits such as process efficiencies and price stability.    The Act only </w:t>
      </w:r>
      <w:r w:rsidR="0063703D">
        <w:t>requires</w:t>
      </w:r>
      <w:r>
        <w:t xml:space="preserve">  community benefits inclusion in tenders with a value of over £4 million, however Moray considers inclusion wherever possible in all tenders.</w:t>
      </w:r>
    </w:p>
    <w:p w:rsidR="00B334AA" w:rsidRDefault="00B334AA">
      <w:r>
        <w:rPr>
          <w:b/>
        </w:rPr>
        <w:t>Table 2</w:t>
      </w:r>
      <w:r>
        <w:t xml:space="preserve"> provides a high level view of the non-cash benefits that have been included in the contracts awarded in the year (comparison to previous year).</w:t>
      </w:r>
    </w:p>
    <w:p w:rsidR="00C138E7" w:rsidRDefault="00C138E7"/>
    <w:p w:rsidR="0028542C" w:rsidRPr="00C138E7" w:rsidRDefault="00C138E7">
      <w:pPr>
        <w:rPr>
          <w:b/>
        </w:rPr>
      </w:pPr>
      <w:r w:rsidRPr="00C138E7">
        <w:rPr>
          <w:b/>
        </w:rPr>
        <w:t>TABLE 2</w:t>
      </w:r>
    </w:p>
    <w:tbl>
      <w:tblPr>
        <w:tblStyle w:val="TableGrid"/>
        <w:tblpPr w:leftFromText="180" w:rightFromText="180" w:vertAnchor="text" w:tblpY="1"/>
        <w:tblOverlap w:val="never"/>
        <w:tblW w:w="0" w:type="auto"/>
        <w:tblLook w:val="04A0" w:firstRow="1" w:lastRow="0" w:firstColumn="1" w:lastColumn="0" w:noHBand="0" w:noVBand="1"/>
      </w:tblPr>
      <w:tblGrid>
        <w:gridCol w:w="3539"/>
        <w:gridCol w:w="1701"/>
        <w:gridCol w:w="3776"/>
      </w:tblGrid>
      <w:tr w:rsidR="007D320D" w:rsidRPr="007D320D" w:rsidTr="0063703D">
        <w:trPr>
          <w:tblHeader/>
        </w:trPr>
        <w:tc>
          <w:tcPr>
            <w:tcW w:w="3539" w:type="dxa"/>
            <w:shd w:val="clear" w:color="auto" w:fill="DBE5F1" w:themeFill="accent1" w:themeFillTint="33"/>
          </w:tcPr>
          <w:p w:rsidR="00D9161E" w:rsidRPr="007D320D" w:rsidRDefault="00D9161E" w:rsidP="00D9161E">
            <w:pPr>
              <w:rPr>
                <w:b/>
              </w:rPr>
            </w:pPr>
            <w:r w:rsidRPr="007D320D">
              <w:rPr>
                <w:b/>
              </w:rPr>
              <w:t>Benefit Category</w:t>
            </w:r>
          </w:p>
        </w:tc>
        <w:tc>
          <w:tcPr>
            <w:tcW w:w="1701" w:type="dxa"/>
            <w:shd w:val="clear" w:color="auto" w:fill="DBE5F1" w:themeFill="accent1" w:themeFillTint="33"/>
          </w:tcPr>
          <w:p w:rsidR="00D9161E" w:rsidRPr="007D320D" w:rsidRDefault="00D9161E" w:rsidP="00D9161E">
            <w:pPr>
              <w:rPr>
                <w:b/>
              </w:rPr>
            </w:pPr>
            <w:r w:rsidRPr="007D320D">
              <w:rPr>
                <w:b/>
              </w:rPr>
              <w:t>No of contracts</w:t>
            </w:r>
          </w:p>
        </w:tc>
        <w:tc>
          <w:tcPr>
            <w:tcW w:w="3776" w:type="dxa"/>
            <w:shd w:val="clear" w:color="auto" w:fill="DBE5F1" w:themeFill="accent1" w:themeFillTint="33"/>
          </w:tcPr>
          <w:p w:rsidR="00D9161E" w:rsidRPr="007D320D" w:rsidRDefault="000210C2" w:rsidP="00D9161E">
            <w:pPr>
              <w:rPr>
                <w:b/>
              </w:rPr>
            </w:pPr>
            <w:r w:rsidRPr="007D320D">
              <w:rPr>
                <w:b/>
              </w:rPr>
              <w:t>Sub category</w:t>
            </w:r>
          </w:p>
        </w:tc>
      </w:tr>
      <w:tr w:rsidR="007D320D" w:rsidRPr="007D320D" w:rsidTr="00E173E6">
        <w:tc>
          <w:tcPr>
            <w:tcW w:w="3539" w:type="dxa"/>
          </w:tcPr>
          <w:p w:rsidR="00D9161E" w:rsidRPr="007D320D" w:rsidRDefault="00D9161E" w:rsidP="00D9161E">
            <w:r w:rsidRPr="007D320D">
              <w:t>Collaboration/tender process</w:t>
            </w:r>
          </w:p>
        </w:tc>
        <w:tc>
          <w:tcPr>
            <w:tcW w:w="1701" w:type="dxa"/>
          </w:tcPr>
          <w:p w:rsidR="00D9161E" w:rsidRPr="007D320D" w:rsidRDefault="000210C2" w:rsidP="00D9161E">
            <w:r w:rsidRPr="007D320D">
              <w:t>203 (206)</w:t>
            </w:r>
          </w:p>
        </w:tc>
        <w:tc>
          <w:tcPr>
            <w:tcW w:w="3776" w:type="dxa"/>
          </w:tcPr>
          <w:p w:rsidR="00B1382A" w:rsidRPr="007D320D" w:rsidRDefault="000210C2" w:rsidP="00D9161E">
            <w:r w:rsidRPr="007D320D">
              <w:t>85</w:t>
            </w:r>
            <w:r w:rsidR="00E173E6" w:rsidRPr="007D320D">
              <w:t xml:space="preserve"> savings in procurement development time </w:t>
            </w:r>
          </w:p>
          <w:p w:rsidR="00D9161E" w:rsidRPr="007D320D" w:rsidRDefault="000210C2" w:rsidP="00E173E6">
            <w:r w:rsidRPr="007D320D">
              <w:t xml:space="preserve">10 </w:t>
            </w:r>
            <w:r w:rsidR="00C41FBF" w:rsidRPr="007D320D">
              <w:t>d</w:t>
            </w:r>
            <w:r w:rsidR="00E173E6" w:rsidRPr="007D320D">
              <w:t>igital process</w:t>
            </w:r>
          </w:p>
        </w:tc>
      </w:tr>
      <w:tr w:rsidR="007D320D" w:rsidRPr="007D320D" w:rsidTr="00B122D6">
        <w:tc>
          <w:tcPr>
            <w:tcW w:w="3539" w:type="dxa"/>
          </w:tcPr>
          <w:p w:rsidR="0028542C" w:rsidRPr="007D320D" w:rsidRDefault="0028542C" w:rsidP="0028542C">
            <w:r w:rsidRPr="007D320D">
              <w:t>Cost Avoidance</w:t>
            </w:r>
          </w:p>
        </w:tc>
        <w:tc>
          <w:tcPr>
            <w:tcW w:w="1701" w:type="dxa"/>
          </w:tcPr>
          <w:p w:rsidR="0028542C" w:rsidRPr="007D320D" w:rsidRDefault="0028542C" w:rsidP="0028542C">
            <w:r w:rsidRPr="007D320D">
              <w:t>7 (22)</w:t>
            </w:r>
          </w:p>
        </w:tc>
        <w:tc>
          <w:tcPr>
            <w:tcW w:w="3776" w:type="dxa"/>
          </w:tcPr>
          <w:p w:rsidR="0028542C" w:rsidRPr="007D320D" w:rsidRDefault="0028542C" w:rsidP="0028542C">
            <w:r w:rsidRPr="007D320D">
              <w:t>1 added value</w:t>
            </w:r>
          </w:p>
          <w:p w:rsidR="0028542C" w:rsidRPr="007D320D" w:rsidRDefault="0028542C" w:rsidP="0028542C">
            <w:r w:rsidRPr="007D320D">
              <w:t>2 price increase rejection</w:t>
            </w:r>
          </w:p>
          <w:p w:rsidR="0028542C" w:rsidRPr="007D320D" w:rsidRDefault="0028542C" w:rsidP="0028542C">
            <w:r w:rsidRPr="007D320D">
              <w:t>4 price versus market savings</w:t>
            </w:r>
          </w:p>
          <w:p w:rsidR="0028542C" w:rsidRPr="007D320D" w:rsidRDefault="0028542C" w:rsidP="0028542C">
            <w:r w:rsidRPr="007D320D">
              <w:t>3 process redesign</w:t>
            </w:r>
          </w:p>
        </w:tc>
      </w:tr>
      <w:tr w:rsidR="007D320D" w:rsidRPr="007D320D" w:rsidTr="00B122D6">
        <w:tc>
          <w:tcPr>
            <w:tcW w:w="3539" w:type="dxa"/>
          </w:tcPr>
          <w:p w:rsidR="0028542C" w:rsidRPr="007D320D" w:rsidRDefault="0028542C" w:rsidP="0028542C">
            <w:r w:rsidRPr="007D320D">
              <w:t>Purchase to Pay Process</w:t>
            </w:r>
          </w:p>
        </w:tc>
        <w:tc>
          <w:tcPr>
            <w:tcW w:w="1701" w:type="dxa"/>
          </w:tcPr>
          <w:p w:rsidR="0028542C" w:rsidRPr="007D320D" w:rsidRDefault="0028542C" w:rsidP="0028542C">
            <w:r w:rsidRPr="007D320D">
              <w:t>6 (4)</w:t>
            </w:r>
          </w:p>
        </w:tc>
        <w:tc>
          <w:tcPr>
            <w:tcW w:w="3776" w:type="dxa"/>
          </w:tcPr>
          <w:p w:rsidR="0028542C" w:rsidRPr="007D320D" w:rsidRDefault="0028542C" w:rsidP="0028542C">
            <w:r w:rsidRPr="007D320D">
              <w:t>3 e- invoicing</w:t>
            </w:r>
          </w:p>
          <w:p w:rsidR="0028542C" w:rsidRPr="007D320D" w:rsidRDefault="0028542C" w:rsidP="0028542C">
            <w:r w:rsidRPr="007D320D">
              <w:t>3 consolidated invoices</w:t>
            </w:r>
          </w:p>
        </w:tc>
      </w:tr>
      <w:tr w:rsidR="007D320D" w:rsidRPr="007D320D" w:rsidTr="00B122D6">
        <w:tc>
          <w:tcPr>
            <w:tcW w:w="3539" w:type="dxa"/>
          </w:tcPr>
          <w:p w:rsidR="0028542C" w:rsidRPr="007D320D" w:rsidRDefault="0028542C" w:rsidP="0028542C">
            <w:r w:rsidRPr="007D320D">
              <w:t>Demand/Rationalisation</w:t>
            </w:r>
          </w:p>
        </w:tc>
        <w:tc>
          <w:tcPr>
            <w:tcW w:w="1701" w:type="dxa"/>
          </w:tcPr>
          <w:p w:rsidR="0028542C" w:rsidRPr="007D320D" w:rsidRDefault="0028542C" w:rsidP="0028542C">
            <w:r w:rsidRPr="007D320D">
              <w:t>9 (5)</w:t>
            </w:r>
          </w:p>
        </w:tc>
        <w:tc>
          <w:tcPr>
            <w:tcW w:w="3776" w:type="dxa"/>
          </w:tcPr>
          <w:p w:rsidR="0028542C" w:rsidRPr="007D320D" w:rsidRDefault="0028542C" w:rsidP="0028542C">
            <w:r w:rsidRPr="007D320D">
              <w:t>8 specific contract issues</w:t>
            </w:r>
          </w:p>
          <w:p w:rsidR="0028542C" w:rsidRPr="007D320D" w:rsidRDefault="0028542C" w:rsidP="0028542C">
            <w:r w:rsidRPr="007D320D">
              <w:t>1 rationalised list</w:t>
            </w:r>
          </w:p>
        </w:tc>
      </w:tr>
      <w:tr w:rsidR="007D320D" w:rsidRPr="007D320D" w:rsidTr="0063703D">
        <w:trPr>
          <w:cantSplit/>
        </w:trPr>
        <w:tc>
          <w:tcPr>
            <w:tcW w:w="3539" w:type="dxa"/>
          </w:tcPr>
          <w:p w:rsidR="00D9161E" w:rsidRPr="007D320D" w:rsidRDefault="00D9161E" w:rsidP="00D9161E">
            <w:r w:rsidRPr="007D320D">
              <w:t>Community</w:t>
            </w:r>
          </w:p>
        </w:tc>
        <w:tc>
          <w:tcPr>
            <w:tcW w:w="1701" w:type="dxa"/>
          </w:tcPr>
          <w:p w:rsidR="00D9161E" w:rsidRPr="007D320D" w:rsidRDefault="00FC634E" w:rsidP="00D9161E">
            <w:r w:rsidRPr="007D320D">
              <w:t xml:space="preserve">26 </w:t>
            </w:r>
            <w:r w:rsidR="000210C2" w:rsidRPr="007D320D">
              <w:t>(</w:t>
            </w:r>
            <w:r w:rsidR="00E173E6" w:rsidRPr="007D320D">
              <w:t>29</w:t>
            </w:r>
            <w:r w:rsidRPr="007D320D">
              <w:t>)</w:t>
            </w:r>
          </w:p>
        </w:tc>
        <w:tc>
          <w:tcPr>
            <w:tcW w:w="3776" w:type="dxa"/>
          </w:tcPr>
          <w:p w:rsidR="00D9161E" w:rsidRPr="007D320D" w:rsidRDefault="000210C2" w:rsidP="00D9161E">
            <w:r w:rsidRPr="007D320D">
              <w:t>5</w:t>
            </w:r>
            <w:r w:rsidR="00B1382A" w:rsidRPr="007D320D">
              <w:t xml:space="preserve"> apprentices</w:t>
            </w:r>
          </w:p>
          <w:p w:rsidR="00B1382A" w:rsidRPr="007D320D" w:rsidRDefault="000210C2" w:rsidP="00D9161E">
            <w:r w:rsidRPr="007D320D">
              <w:t xml:space="preserve">9 </w:t>
            </w:r>
            <w:r w:rsidR="00B1382A" w:rsidRPr="007D320D">
              <w:t>C</w:t>
            </w:r>
            <w:r w:rsidR="00796BF6" w:rsidRPr="007D320D">
              <w:t xml:space="preserve">ommunity </w:t>
            </w:r>
            <w:r w:rsidR="00B1382A" w:rsidRPr="007D320D">
              <w:t>B</w:t>
            </w:r>
            <w:r w:rsidR="00796BF6" w:rsidRPr="007D320D">
              <w:t>enefit C</w:t>
            </w:r>
            <w:r w:rsidR="00B1382A" w:rsidRPr="007D320D">
              <w:t>lause (wide ranging)</w:t>
            </w:r>
          </w:p>
          <w:p w:rsidR="00B1382A" w:rsidRPr="007D320D" w:rsidRDefault="000210C2" w:rsidP="00D9161E">
            <w:r w:rsidRPr="007D320D">
              <w:t>4</w:t>
            </w:r>
            <w:r w:rsidR="00B1382A" w:rsidRPr="007D320D">
              <w:t xml:space="preserve"> school visits</w:t>
            </w:r>
          </w:p>
          <w:p w:rsidR="00B1382A" w:rsidRPr="007D320D" w:rsidRDefault="000210C2" w:rsidP="00D9161E">
            <w:r w:rsidRPr="007D320D">
              <w:lastRenderedPageBreak/>
              <w:t>8</w:t>
            </w:r>
            <w:r w:rsidR="00B1382A" w:rsidRPr="007D320D">
              <w:t xml:space="preserve"> training</w:t>
            </w:r>
          </w:p>
        </w:tc>
      </w:tr>
      <w:tr w:rsidR="007D320D" w:rsidRPr="007D320D" w:rsidTr="00E173E6">
        <w:tc>
          <w:tcPr>
            <w:tcW w:w="3539" w:type="dxa"/>
          </w:tcPr>
          <w:p w:rsidR="00D9161E" w:rsidRPr="007D320D" w:rsidRDefault="00D9161E" w:rsidP="00D9161E">
            <w:r w:rsidRPr="007D320D">
              <w:lastRenderedPageBreak/>
              <w:t>Environmental</w:t>
            </w:r>
          </w:p>
        </w:tc>
        <w:tc>
          <w:tcPr>
            <w:tcW w:w="1701" w:type="dxa"/>
          </w:tcPr>
          <w:p w:rsidR="00D9161E" w:rsidRPr="007D320D" w:rsidRDefault="0028542C" w:rsidP="0028542C">
            <w:r w:rsidRPr="007D320D">
              <w:t>13 (</w:t>
            </w:r>
            <w:r w:rsidR="00E173E6" w:rsidRPr="007D320D">
              <w:t>21</w:t>
            </w:r>
            <w:r w:rsidRPr="007D320D">
              <w:t>)</w:t>
            </w:r>
          </w:p>
        </w:tc>
        <w:tc>
          <w:tcPr>
            <w:tcW w:w="3776" w:type="dxa"/>
          </w:tcPr>
          <w:p w:rsidR="00D9161E" w:rsidRPr="007D320D" w:rsidRDefault="0028542C" w:rsidP="00D9161E">
            <w:r w:rsidRPr="007D320D">
              <w:t>5</w:t>
            </w:r>
            <w:r w:rsidR="00B1382A" w:rsidRPr="007D320D">
              <w:t xml:space="preserve"> energy</w:t>
            </w:r>
          </w:p>
          <w:p w:rsidR="00B1382A" w:rsidRPr="007D320D" w:rsidRDefault="0028542C" w:rsidP="00D9161E">
            <w:r w:rsidRPr="007D320D">
              <w:t>3</w:t>
            </w:r>
            <w:r w:rsidR="00B1382A" w:rsidRPr="007D320D">
              <w:t xml:space="preserve"> greenhouse gases</w:t>
            </w:r>
          </w:p>
          <w:p w:rsidR="00B1382A" w:rsidRPr="007D320D" w:rsidRDefault="0028542C" w:rsidP="00D9161E">
            <w:r w:rsidRPr="007D320D">
              <w:t xml:space="preserve">1 </w:t>
            </w:r>
            <w:r w:rsidR="00B1382A" w:rsidRPr="007D320D">
              <w:t>sustainable construction</w:t>
            </w:r>
          </w:p>
          <w:p w:rsidR="00B1382A" w:rsidRPr="007D320D" w:rsidRDefault="0028542C" w:rsidP="00D9161E">
            <w:r w:rsidRPr="007D320D">
              <w:t>4</w:t>
            </w:r>
            <w:r w:rsidR="00B1382A" w:rsidRPr="007D320D">
              <w:t xml:space="preserve"> waste</w:t>
            </w:r>
          </w:p>
        </w:tc>
      </w:tr>
      <w:tr w:rsidR="007D320D" w:rsidRPr="007D320D" w:rsidTr="00E173E6">
        <w:tc>
          <w:tcPr>
            <w:tcW w:w="3539" w:type="dxa"/>
          </w:tcPr>
          <w:p w:rsidR="00D9161E" w:rsidRPr="007D320D" w:rsidRDefault="00D9161E" w:rsidP="00D9161E">
            <w:r w:rsidRPr="007D320D">
              <w:t xml:space="preserve">Social </w:t>
            </w:r>
          </w:p>
        </w:tc>
        <w:tc>
          <w:tcPr>
            <w:tcW w:w="1701" w:type="dxa"/>
          </w:tcPr>
          <w:p w:rsidR="00D9161E" w:rsidRPr="007D320D" w:rsidRDefault="0028542C" w:rsidP="0028542C">
            <w:r w:rsidRPr="007D320D">
              <w:t>16 (2</w:t>
            </w:r>
            <w:r w:rsidR="00E173E6" w:rsidRPr="007D320D">
              <w:t>3</w:t>
            </w:r>
            <w:r w:rsidRPr="007D320D">
              <w:t>)</w:t>
            </w:r>
            <w:r w:rsidR="00E173E6" w:rsidRPr="007D320D">
              <w:t xml:space="preserve"> </w:t>
            </w:r>
          </w:p>
        </w:tc>
        <w:tc>
          <w:tcPr>
            <w:tcW w:w="3776" w:type="dxa"/>
          </w:tcPr>
          <w:p w:rsidR="00D9161E" w:rsidRPr="007D320D" w:rsidRDefault="0028542C" w:rsidP="00D9161E">
            <w:r w:rsidRPr="007D320D">
              <w:t>4</w:t>
            </w:r>
            <w:r w:rsidR="00B1382A" w:rsidRPr="007D320D">
              <w:t xml:space="preserve"> fair work issues</w:t>
            </w:r>
          </w:p>
          <w:p w:rsidR="00B1382A" w:rsidRPr="007D320D" w:rsidRDefault="0028542C" w:rsidP="00D9161E">
            <w:r w:rsidRPr="007D320D">
              <w:t>11</w:t>
            </w:r>
            <w:r w:rsidR="00B1382A" w:rsidRPr="007D320D">
              <w:t xml:space="preserve"> other – wide ranging</w:t>
            </w:r>
          </w:p>
          <w:p w:rsidR="00B1382A" w:rsidRPr="007D320D" w:rsidRDefault="0028542C" w:rsidP="00D9161E">
            <w:r w:rsidRPr="007D320D">
              <w:t>1 public social partnership</w:t>
            </w:r>
          </w:p>
          <w:p w:rsidR="00E173E6" w:rsidRPr="007D320D" w:rsidRDefault="00E173E6" w:rsidP="00D9161E">
            <w:r w:rsidRPr="007D320D">
              <w:t>3 Participatory budget</w:t>
            </w:r>
          </w:p>
          <w:p w:rsidR="00E173E6" w:rsidRPr="007D320D" w:rsidRDefault="00E173E6" w:rsidP="00D9161E">
            <w:r w:rsidRPr="007D320D">
              <w:t>9 Other</w:t>
            </w:r>
          </w:p>
        </w:tc>
      </w:tr>
      <w:tr w:rsidR="007D320D" w:rsidRPr="007D320D" w:rsidTr="00E173E6">
        <w:tc>
          <w:tcPr>
            <w:tcW w:w="3539" w:type="dxa"/>
          </w:tcPr>
          <w:p w:rsidR="00E173E6" w:rsidRPr="007D320D" w:rsidRDefault="00E173E6" w:rsidP="00D9161E">
            <w:r w:rsidRPr="007D320D">
              <w:t xml:space="preserve">Living </w:t>
            </w:r>
            <w:r w:rsidR="00FC634E" w:rsidRPr="007D320D">
              <w:t>Wage</w:t>
            </w:r>
          </w:p>
        </w:tc>
        <w:tc>
          <w:tcPr>
            <w:tcW w:w="1701" w:type="dxa"/>
          </w:tcPr>
          <w:p w:rsidR="00E173E6" w:rsidRPr="007D320D" w:rsidRDefault="00FC634E" w:rsidP="00D9161E">
            <w:r w:rsidRPr="007D320D">
              <w:t>27 (</w:t>
            </w:r>
            <w:r w:rsidR="00E173E6" w:rsidRPr="007D320D">
              <w:t>20</w:t>
            </w:r>
            <w:r w:rsidRPr="007D320D">
              <w:t>)</w:t>
            </w:r>
          </w:p>
        </w:tc>
        <w:tc>
          <w:tcPr>
            <w:tcW w:w="3776" w:type="dxa"/>
          </w:tcPr>
          <w:p w:rsidR="00E173E6" w:rsidRPr="007D320D" w:rsidRDefault="00FC634E" w:rsidP="00D9161E">
            <w:r w:rsidRPr="007D320D">
              <w:t>10</w:t>
            </w:r>
            <w:r w:rsidR="00E173E6" w:rsidRPr="007D320D">
              <w:t xml:space="preserve"> Accredited</w:t>
            </w:r>
          </w:p>
          <w:p w:rsidR="00E173E6" w:rsidRPr="007D320D" w:rsidRDefault="00E173E6" w:rsidP="00D9161E">
            <w:r w:rsidRPr="007D320D">
              <w:t>3 Working to accreditation</w:t>
            </w:r>
          </w:p>
          <w:p w:rsidR="00E173E6" w:rsidRPr="007D320D" w:rsidRDefault="00FC634E" w:rsidP="00D9161E">
            <w:r w:rsidRPr="007D320D">
              <w:t>12</w:t>
            </w:r>
            <w:r w:rsidR="00E173E6" w:rsidRPr="007D320D">
              <w:t xml:space="preserve"> Paying living wage</w:t>
            </w:r>
          </w:p>
          <w:p w:rsidR="00FC634E" w:rsidRPr="007D320D" w:rsidRDefault="00FC634E" w:rsidP="00D9161E">
            <w:r w:rsidRPr="007D320D">
              <w:t>1 commitment to pay</w:t>
            </w:r>
          </w:p>
          <w:p w:rsidR="00E173E6" w:rsidRPr="007D320D" w:rsidRDefault="00E173E6" w:rsidP="00D9161E">
            <w:r w:rsidRPr="007D320D">
              <w:t>1 Neither paying or accredited</w:t>
            </w:r>
          </w:p>
          <w:p w:rsidR="00E173E6" w:rsidRPr="007D320D" w:rsidRDefault="00E173E6" w:rsidP="00D9161E"/>
        </w:tc>
      </w:tr>
    </w:tbl>
    <w:p w:rsidR="0067029D" w:rsidRDefault="0067029D"/>
    <w:p w:rsidR="0023148B" w:rsidRDefault="0067029D">
      <w:pPr>
        <w:rPr>
          <w:i/>
        </w:rPr>
      </w:pPr>
      <w:r>
        <w:rPr>
          <w:i/>
        </w:rPr>
        <w:t>Commentary on performance</w:t>
      </w:r>
      <w:r w:rsidR="00A17970">
        <w:rPr>
          <w:i/>
        </w:rPr>
        <w:t>:</w:t>
      </w:r>
    </w:p>
    <w:p w:rsidR="00A07638" w:rsidRPr="0067029D" w:rsidRDefault="00A07638">
      <w:pPr>
        <w:rPr>
          <w:i/>
        </w:rPr>
      </w:pPr>
    </w:p>
    <w:p w:rsidR="00C33D94" w:rsidRPr="007D320D" w:rsidRDefault="00485B1D">
      <w:pPr>
        <w:rPr>
          <w:i/>
        </w:rPr>
      </w:pPr>
      <w:r w:rsidRPr="007D320D">
        <w:rPr>
          <w:i/>
        </w:rPr>
        <w:t>The Council’s method of recording non-cash benefits was introduced in 2015/</w:t>
      </w:r>
      <w:r w:rsidR="00952D8B" w:rsidRPr="007D320D">
        <w:rPr>
          <w:i/>
        </w:rPr>
        <w:t>20</w:t>
      </w:r>
      <w:r w:rsidRPr="007D320D">
        <w:rPr>
          <w:i/>
        </w:rPr>
        <w:t xml:space="preserve">16 and we have seen </w:t>
      </w:r>
      <w:r w:rsidR="00A67DC7" w:rsidRPr="007D320D">
        <w:rPr>
          <w:i/>
        </w:rPr>
        <w:t>a year on year improvement</w:t>
      </w:r>
      <w:r w:rsidR="007D320D" w:rsidRPr="007D320D">
        <w:rPr>
          <w:i/>
        </w:rPr>
        <w:t xml:space="preserve"> and although we have recorded our first reduction in the total numbers this has to be taken in context with the reduction in contracts awarded</w:t>
      </w:r>
      <w:r w:rsidR="006A1ED6" w:rsidRPr="007D320D">
        <w:rPr>
          <w:i/>
        </w:rPr>
        <w:t>- total live contract with non-</w:t>
      </w:r>
      <w:r w:rsidR="00C33D94" w:rsidRPr="007D320D">
        <w:rPr>
          <w:i/>
        </w:rPr>
        <w:t>cash benefit:</w:t>
      </w:r>
    </w:p>
    <w:p w:rsidR="00C33D94" w:rsidRPr="007D320D" w:rsidRDefault="00C33D94">
      <w:pPr>
        <w:rPr>
          <w:i/>
        </w:rPr>
      </w:pPr>
      <w:r w:rsidRPr="007D320D">
        <w:rPr>
          <w:i/>
        </w:rPr>
        <w:t>2017/18 – 182</w:t>
      </w:r>
    </w:p>
    <w:p w:rsidR="00C33D94" w:rsidRPr="007D320D" w:rsidRDefault="00C33D94">
      <w:pPr>
        <w:rPr>
          <w:i/>
        </w:rPr>
      </w:pPr>
      <w:r w:rsidRPr="007D320D">
        <w:rPr>
          <w:i/>
        </w:rPr>
        <w:t>2018/19 – 220</w:t>
      </w:r>
    </w:p>
    <w:p w:rsidR="00C33D94" w:rsidRPr="007D320D" w:rsidRDefault="007D320D">
      <w:pPr>
        <w:rPr>
          <w:i/>
        </w:rPr>
      </w:pPr>
      <w:r w:rsidRPr="007D320D">
        <w:rPr>
          <w:i/>
        </w:rPr>
        <w:t>2019/20 – 330</w:t>
      </w:r>
    </w:p>
    <w:p w:rsidR="007D320D" w:rsidRPr="007D320D" w:rsidRDefault="007D320D">
      <w:pPr>
        <w:rPr>
          <w:i/>
        </w:rPr>
      </w:pPr>
      <w:r w:rsidRPr="007D320D">
        <w:rPr>
          <w:i/>
        </w:rPr>
        <w:t>2020/2021 - 203</w:t>
      </w:r>
    </w:p>
    <w:p w:rsidR="007D320D" w:rsidRPr="007D320D" w:rsidRDefault="007D320D">
      <w:pPr>
        <w:rPr>
          <w:i/>
        </w:rPr>
      </w:pPr>
    </w:p>
    <w:p w:rsidR="007D320D" w:rsidRPr="007D320D" w:rsidRDefault="007D320D" w:rsidP="007D320D">
      <w:pPr>
        <w:rPr>
          <w:i/>
        </w:rPr>
      </w:pPr>
      <w:r w:rsidRPr="007D320D">
        <w:rPr>
          <w:i/>
        </w:rPr>
        <w:t>Non-cash benefits are recorded for all contracts, this may result in some duplication where a framework allows for mini competitions as both will have non benefits recorded on the contract register.</w:t>
      </w:r>
    </w:p>
    <w:p w:rsidR="007D320D" w:rsidRPr="007D320D" w:rsidRDefault="007D320D">
      <w:pPr>
        <w:rPr>
          <w:i/>
        </w:rPr>
      </w:pPr>
    </w:p>
    <w:p w:rsidR="00A67DC7" w:rsidRPr="007D320D" w:rsidRDefault="00A67DC7">
      <w:pPr>
        <w:rPr>
          <w:i/>
        </w:rPr>
      </w:pPr>
      <w:r w:rsidRPr="007D320D">
        <w:rPr>
          <w:i/>
        </w:rPr>
        <w:t>As the maturity of our procurement portfolio grows it has made it more difficult to achieve financial savings and so we are starting to see a switch in focus to the non-</w:t>
      </w:r>
      <w:r w:rsidRPr="007D320D">
        <w:rPr>
          <w:i/>
        </w:rPr>
        <w:lastRenderedPageBreak/>
        <w:t>cash added value benefits although on a small scale due to the lower value range of contracts we have.</w:t>
      </w:r>
      <w:r w:rsidR="00475383" w:rsidRPr="007D320D">
        <w:rPr>
          <w:i/>
        </w:rPr>
        <w:t xml:space="preserve"> </w:t>
      </w:r>
      <w:r w:rsidR="007D320D" w:rsidRPr="007D320D">
        <w:rPr>
          <w:i/>
        </w:rPr>
        <w:t>The emerging focus on climate issues and community wealth building should also provide the imp</w:t>
      </w:r>
      <w:r w:rsidR="00A03D64">
        <w:rPr>
          <w:i/>
        </w:rPr>
        <w:t>etus for future delivery of non-</w:t>
      </w:r>
      <w:r w:rsidR="007D320D" w:rsidRPr="007D320D">
        <w:rPr>
          <w:i/>
        </w:rPr>
        <w:t>cash benefits.</w:t>
      </w:r>
    </w:p>
    <w:p w:rsidR="00485B1D" w:rsidRDefault="00485B1D">
      <w:pPr>
        <w:rPr>
          <w:i/>
          <w:color w:val="FF0000"/>
        </w:rPr>
      </w:pPr>
    </w:p>
    <w:p w:rsidR="00B334AA" w:rsidRPr="0063703D" w:rsidRDefault="00B334AA">
      <w:pPr>
        <w:rPr>
          <w:u w:val="single"/>
        </w:rPr>
      </w:pPr>
      <w:r w:rsidRPr="0063703D">
        <w:rPr>
          <w:u w:val="single"/>
        </w:rPr>
        <w:t>Supported Businesses</w:t>
      </w:r>
    </w:p>
    <w:p w:rsidR="00B334AA" w:rsidRPr="0063703D" w:rsidRDefault="00B334AA">
      <w:pPr>
        <w:rPr>
          <w:color w:val="FF0000"/>
        </w:rPr>
      </w:pPr>
    </w:p>
    <w:p w:rsidR="001608DA" w:rsidRDefault="002E4A6A">
      <w:r>
        <w:rPr>
          <w:b/>
        </w:rPr>
        <w:t xml:space="preserve">Table </w:t>
      </w:r>
      <w:r w:rsidR="005D3ADF">
        <w:rPr>
          <w:b/>
        </w:rPr>
        <w:t xml:space="preserve">3 </w:t>
      </w:r>
      <w:r w:rsidR="00EE01A5">
        <w:t>considers the potential</w:t>
      </w:r>
      <w:r w:rsidR="00C37507" w:rsidRPr="00C37507">
        <w:t xml:space="preserve"> use of supported businesses</w:t>
      </w:r>
      <w:r w:rsidR="00075416">
        <w:t>.</w:t>
      </w:r>
      <w:r w:rsidR="00F7488E">
        <w:t xml:space="preserve">  Public organisations can reserve the right to participate in procurement for the award of a public contract/framewo</w:t>
      </w:r>
      <w:r w:rsidR="0067029D">
        <w:t>rk to a supported business</w:t>
      </w:r>
      <w:r w:rsidR="00075416">
        <w:t xml:space="preserve"> (explanation below)</w:t>
      </w:r>
      <w:r w:rsidR="0067029D">
        <w:t xml:space="preserve">. </w:t>
      </w:r>
    </w:p>
    <w:p w:rsidR="00C138E7" w:rsidRDefault="00C138E7" w:rsidP="00075416">
      <w:pPr>
        <w:rPr>
          <w:i/>
        </w:rPr>
      </w:pPr>
    </w:p>
    <w:p w:rsidR="002E4A6A" w:rsidRPr="002E4A6A" w:rsidRDefault="002E4A6A" w:rsidP="00075416">
      <w:pPr>
        <w:rPr>
          <w:b/>
        </w:rPr>
      </w:pPr>
      <w:r w:rsidRPr="002E4A6A">
        <w:rPr>
          <w:b/>
        </w:rPr>
        <w:t>TABLE 3</w:t>
      </w:r>
    </w:p>
    <w:tbl>
      <w:tblPr>
        <w:tblStyle w:val="TableGrid"/>
        <w:tblW w:w="0" w:type="auto"/>
        <w:tblLook w:val="04A0" w:firstRow="1" w:lastRow="0" w:firstColumn="1" w:lastColumn="0" w:noHBand="0" w:noVBand="1"/>
      </w:tblPr>
      <w:tblGrid>
        <w:gridCol w:w="4621"/>
        <w:gridCol w:w="1866"/>
      </w:tblGrid>
      <w:tr w:rsidR="00C138E7" w:rsidRPr="00C138E7" w:rsidTr="00796BF6">
        <w:tc>
          <w:tcPr>
            <w:tcW w:w="4621" w:type="dxa"/>
            <w:shd w:val="clear" w:color="auto" w:fill="DBE5F1" w:themeFill="accent1" w:themeFillTint="33"/>
          </w:tcPr>
          <w:p w:rsidR="00C138E7" w:rsidRPr="00C138E7" w:rsidRDefault="00E7270F" w:rsidP="00075416">
            <w:pPr>
              <w:rPr>
                <w:b/>
              </w:rPr>
            </w:pPr>
            <w:r>
              <w:rPr>
                <w:b/>
              </w:rPr>
              <w:t xml:space="preserve">Reserved </w:t>
            </w:r>
            <w:r w:rsidR="00C138E7" w:rsidRPr="00C138E7">
              <w:rPr>
                <w:b/>
              </w:rPr>
              <w:t>Supplier</w:t>
            </w:r>
          </w:p>
        </w:tc>
        <w:tc>
          <w:tcPr>
            <w:tcW w:w="1866" w:type="dxa"/>
            <w:shd w:val="clear" w:color="auto" w:fill="DBE5F1" w:themeFill="accent1" w:themeFillTint="33"/>
          </w:tcPr>
          <w:p w:rsidR="00E7270F" w:rsidRPr="00E7270F" w:rsidRDefault="007A4F8B" w:rsidP="00075416">
            <w:pPr>
              <w:rPr>
                <w:b/>
              </w:rPr>
            </w:pPr>
            <w:r>
              <w:rPr>
                <w:b/>
              </w:rPr>
              <w:t>2020/21</w:t>
            </w:r>
          </w:p>
          <w:p w:rsidR="00C138E7" w:rsidRPr="00E7270F" w:rsidRDefault="00C138E7" w:rsidP="00075416">
            <w:pPr>
              <w:rPr>
                <w:b/>
              </w:rPr>
            </w:pPr>
            <w:r w:rsidRPr="00E7270F">
              <w:rPr>
                <w:b/>
              </w:rPr>
              <w:t>Turnover</w:t>
            </w:r>
          </w:p>
          <w:p w:rsidR="00796BF6" w:rsidRPr="00E7270F" w:rsidRDefault="00796BF6" w:rsidP="00075416">
            <w:pPr>
              <w:rPr>
                <w:b/>
              </w:rPr>
            </w:pPr>
            <w:r w:rsidRPr="00E7270F">
              <w:rPr>
                <w:b/>
              </w:rPr>
              <w:t>£</w:t>
            </w:r>
          </w:p>
        </w:tc>
      </w:tr>
      <w:tr w:rsidR="00E7270F" w:rsidRPr="00C138E7" w:rsidTr="00796BF6">
        <w:tc>
          <w:tcPr>
            <w:tcW w:w="4621" w:type="dxa"/>
          </w:tcPr>
          <w:p w:rsidR="00E7270F" w:rsidRPr="007D320D" w:rsidRDefault="00E7270F" w:rsidP="00075416">
            <w:r w:rsidRPr="007D320D">
              <w:t>Scotland Bravest Manufacturing Company</w:t>
            </w:r>
          </w:p>
        </w:tc>
        <w:tc>
          <w:tcPr>
            <w:tcW w:w="1866" w:type="dxa"/>
          </w:tcPr>
          <w:p w:rsidR="00E7270F" w:rsidRPr="007D320D" w:rsidRDefault="007D320D" w:rsidP="00796BF6">
            <w:pPr>
              <w:jc w:val="right"/>
            </w:pPr>
            <w:r w:rsidRPr="007D320D">
              <w:t>547</w:t>
            </w:r>
          </w:p>
        </w:tc>
      </w:tr>
      <w:tr w:rsidR="00E7270F" w:rsidRPr="00C138E7" w:rsidTr="00796BF6">
        <w:tc>
          <w:tcPr>
            <w:tcW w:w="4621" w:type="dxa"/>
          </w:tcPr>
          <w:p w:rsidR="00E7270F" w:rsidRPr="007D320D" w:rsidRDefault="00E7270F" w:rsidP="00075416"/>
        </w:tc>
        <w:tc>
          <w:tcPr>
            <w:tcW w:w="1866" w:type="dxa"/>
          </w:tcPr>
          <w:p w:rsidR="00E7270F" w:rsidRPr="007D320D" w:rsidRDefault="00E7270F" w:rsidP="00796BF6">
            <w:pPr>
              <w:jc w:val="right"/>
            </w:pPr>
          </w:p>
        </w:tc>
      </w:tr>
      <w:tr w:rsidR="00C138E7" w:rsidRPr="00C138E7" w:rsidTr="00796BF6">
        <w:tc>
          <w:tcPr>
            <w:tcW w:w="4621" w:type="dxa"/>
          </w:tcPr>
          <w:p w:rsidR="00C138E7" w:rsidRPr="007D320D" w:rsidRDefault="00C138E7" w:rsidP="00075416">
            <w:r w:rsidRPr="007D320D">
              <w:t>Moray Reach Out</w:t>
            </w:r>
          </w:p>
        </w:tc>
        <w:tc>
          <w:tcPr>
            <w:tcW w:w="1866" w:type="dxa"/>
          </w:tcPr>
          <w:p w:rsidR="00C138E7" w:rsidRPr="007D320D" w:rsidRDefault="007D320D" w:rsidP="00796BF6">
            <w:pPr>
              <w:jc w:val="right"/>
            </w:pPr>
            <w:r w:rsidRPr="007D320D">
              <w:t>117,875</w:t>
            </w:r>
          </w:p>
        </w:tc>
      </w:tr>
      <w:tr w:rsidR="00C138E7" w:rsidRPr="00C138E7" w:rsidTr="00796BF6">
        <w:tc>
          <w:tcPr>
            <w:tcW w:w="4621" w:type="dxa"/>
          </w:tcPr>
          <w:p w:rsidR="00C138E7" w:rsidRPr="007D320D" w:rsidRDefault="00C138E7" w:rsidP="00075416">
            <w:r w:rsidRPr="007D320D">
              <w:t>Out of Darkness Theatre</w:t>
            </w:r>
          </w:p>
        </w:tc>
        <w:tc>
          <w:tcPr>
            <w:tcW w:w="1866" w:type="dxa"/>
          </w:tcPr>
          <w:p w:rsidR="00C138E7" w:rsidRPr="007D320D" w:rsidRDefault="007D320D" w:rsidP="00796BF6">
            <w:pPr>
              <w:jc w:val="right"/>
            </w:pPr>
            <w:r w:rsidRPr="007D320D">
              <w:t>42,987</w:t>
            </w:r>
          </w:p>
        </w:tc>
      </w:tr>
      <w:tr w:rsidR="00C138E7" w:rsidRPr="00C138E7" w:rsidTr="00796BF6">
        <w:tc>
          <w:tcPr>
            <w:tcW w:w="4621" w:type="dxa"/>
          </w:tcPr>
          <w:p w:rsidR="00C138E7" w:rsidRPr="007D320D" w:rsidRDefault="00595AC3" w:rsidP="00075416">
            <w:r w:rsidRPr="007D320D">
              <w:t>Living Ambitions</w:t>
            </w:r>
          </w:p>
        </w:tc>
        <w:tc>
          <w:tcPr>
            <w:tcW w:w="1866" w:type="dxa"/>
          </w:tcPr>
          <w:p w:rsidR="00C138E7" w:rsidRPr="007D320D" w:rsidRDefault="007D320D" w:rsidP="00796BF6">
            <w:pPr>
              <w:jc w:val="right"/>
            </w:pPr>
            <w:r w:rsidRPr="007D320D">
              <w:t>176,466</w:t>
            </w:r>
          </w:p>
        </w:tc>
      </w:tr>
      <w:tr w:rsidR="00E7270F" w:rsidRPr="00C138E7" w:rsidTr="00796BF6">
        <w:tc>
          <w:tcPr>
            <w:tcW w:w="4621" w:type="dxa"/>
          </w:tcPr>
          <w:p w:rsidR="00E7270F" w:rsidRPr="007D320D" w:rsidRDefault="00E7270F" w:rsidP="00075416"/>
        </w:tc>
        <w:tc>
          <w:tcPr>
            <w:tcW w:w="1866" w:type="dxa"/>
          </w:tcPr>
          <w:p w:rsidR="00E7270F" w:rsidRPr="007D320D" w:rsidRDefault="00E7270F" w:rsidP="00796BF6">
            <w:pPr>
              <w:jc w:val="right"/>
            </w:pPr>
          </w:p>
        </w:tc>
      </w:tr>
    </w:tbl>
    <w:p w:rsidR="00C138E7" w:rsidRDefault="007D320D" w:rsidP="00075416">
      <w:pPr>
        <w:rPr>
          <w:i/>
        </w:rPr>
      </w:pPr>
      <w:r>
        <w:rPr>
          <w:i/>
        </w:rPr>
        <w:t>Reduced values due to lockdown</w:t>
      </w:r>
    </w:p>
    <w:p w:rsidR="007D320D" w:rsidRDefault="007D320D" w:rsidP="00075416">
      <w:pPr>
        <w:rPr>
          <w:i/>
        </w:rPr>
      </w:pPr>
    </w:p>
    <w:p w:rsidR="00796BF6" w:rsidRPr="001608DA" w:rsidRDefault="00796BF6" w:rsidP="00796BF6">
      <w:pPr>
        <w:rPr>
          <w:i/>
        </w:rPr>
      </w:pPr>
      <w:r>
        <w:rPr>
          <w:i/>
        </w:rPr>
        <w:t>Commentary on performance:</w:t>
      </w:r>
    </w:p>
    <w:p w:rsidR="00E7270F" w:rsidRDefault="00E7270F" w:rsidP="00796BF6">
      <w:pPr>
        <w:rPr>
          <w:i/>
        </w:rPr>
      </w:pPr>
    </w:p>
    <w:p w:rsidR="00796BF6" w:rsidRPr="007D320D" w:rsidRDefault="006A1ED6" w:rsidP="00796BF6">
      <w:pPr>
        <w:rPr>
          <w:i/>
        </w:rPr>
      </w:pPr>
      <w:r w:rsidRPr="007D320D">
        <w:rPr>
          <w:i/>
        </w:rPr>
        <w:t>The second group of suppliers i</w:t>
      </w:r>
      <w:r w:rsidR="00E7270F" w:rsidRPr="007D320D">
        <w:rPr>
          <w:i/>
        </w:rPr>
        <w:t>n the above table are not</w:t>
      </w:r>
      <w:r w:rsidR="00796BF6" w:rsidRPr="007D320D">
        <w:rPr>
          <w:i/>
        </w:rPr>
        <w:t xml:space="preserve"> formally cont</w:t>
      </w:r>
      <w:r w:rsidR="00E7270F" w:rsidRPr="007D320D">
        <w:rPr>
          <w:i/>
        </w:rPr>
        <w:t xml:space="preserve">racted as supported businesses but we believe that our use of these companies </w:t>
      </w:r>
      <w:r w:rsidR="00796BF6" w:rsidRPr="007D320D">
        <w:rPr>
          <w:i/>
        </w:rPr>
        <w:t xml:space="preserve">goes some way to meet the Reform Act requirement to support such enterprises.  To meet the required </w:t>
      </w:r>
      <w:r w:rsidR="00796BF6" w:rsidRPr="007D320D">
        <w:rPr>
          <w:i/>
        </w:rPr>
        <w:lastRenderedPageBreak/>
        <w:t>criteria supported businesses the main aim of the organisation has to be the social and integration of disabled or disadvantaged persons and where at least 30% of those employed and engaged with the programme are disabled or disadvantaged.  These companies however cannot meet the “employment” criteria but certainly do meet the “engagement” element.</w:t>
      </w:r>
    </w:p>
    <w:p w:rsidR="00E7270F" w:rsidRDefault="00E7270F" w:rsidP="00796BF6">
      <w:pPr>
        <w:rPr>
          <w:i/>
        </w:rPr>
      </w:pPr>
    </w:p>
    <w:p w:rsidR="00C37507" w:rsidRDefault="00C37507"/>
    <w:tbl>
      <w:tblPr>
        <w:tblStyle w:val="TableGrid"/>
        <w:tblW w:w="0" w:type="auto"/>
        <w:shd w:val="clear" w:color="auto" w:fill="DBE5F1" w:themeFill="accent1" w:themeFillTint="33"/>
        <w:tblLook w:val="04A0" w:firstRow="1" w:lastRow="0" w:firstColumn="1" w:lastColumn="0" w:noHBand="0" w:noVBand="1"/>
      </w:tblPr>
      <w:tblGrid>
        <w:gridCol w:w="9016"/>
      </w:tblGrid>
      <w:tr w:rsidR="00E150E7" w:rsidRPr="00E150E7" w:rsidTr="00E150E7">
        <w:tc>
          <w:tcPr>
            <w:tcW w:w="9242" w:type="dxa"/>
            <w:shd w:val="clear" w:color="auto" w:fill="DBE5F1" w:themeFill="accent1" w:themeFillTint="33"/>
          </w:tcPr>
          <w:p w:rsidR="00E150E7" w:rsidRPr="00E150E7" w:rsidRDefault="00E150E7">
            <w:pPr>
              <w:rPr>
                <w:b/>
              </w:rPr>
            </w:pPr>
            <w:r w:rsidRPr="00E150E7">
              <w:rPr>
                <w:b/>
              </w:rPr>
              <w:t xml:space="preserve">SECTION 3 </w:t>
            </w:r>
            <w:r>
              <w:rPr>
                <w:b/>
              </w:rPr>
              <w:t xml:space="preserve">- </w:t>
            </w:r>
            <w:r w:rsidRPr="00E150E7">
              <w:rPr>
                <w:b/>
              </w:rPr>
              <w:t xml:space="preserve">FUTURE REGULATED PROCUREMENT SUMMARY </w:t>
            </w:r>
          </w:p>
        </w:tc>
      </w:tr>
    </w:tbl>
    <w:p w:rsidR="00E150E7" w:rsidRDefault="00E150E7">
      <w:pPr>
        <w:rPr>
          <w:i/>
        </w:rPr>
      </w:pPr>
    </w:p>
    <w:p w:rsidR="00793D5B" w:rsidRDefault="00E150E7">
      <w:r>
        <w:t xml:space="preserve">The Procurement team work with Heads of Service to develop </w:t>
      </w:r>
      <w:r w:rsidR="00B15C60">
        <w:t xml:space="preserve">a </w:t>
      </w:r>
      <w:r>
        <w:t xml:space="preserve">Departmental Procurement Action </w:t>
      </w:r>
      <w:r w:rsidR="00B15C60">
        <w:t>P</w:t>
      </w:r>
      <w:r>
        <w:t>lan</w:t>
      </w:r>
      <w:r w:rsidR="006449F3">
        <w:t xml:space="preserve"> (DPAP)</w:t>
      </w:r>
      <w:r>
        <w:t xml:space="preserve"> for their service which identifies the</w:t>
      </w:r>
      <w:r w:rsidR="0067029D">
        <w:t xml:space="preserve"> Council’s</w:t>
      </w:r>
      <w:r>
        <w:t xml:space="preserve"> procurement activi</w:t>
      </w:r>
      <w:r w:rsidR="00595AC3">
        <w:t xml:space="preserve">ty for the coming year.  In addition to this internal forward planning the Act </w:t>
      </w:r>
      <w:r w:rsidR="00696CC2">
        <w:t xml:space="preserve">requires the publication of a </w:t>
      </w:r>
      <w:r w:rsidR="002E4A6A">
        <w:t>summary</w:t>
      </w:r>
      <w:r w:rsidR="00696CC2">
        <w:t xml:space="preserve"> of future</w:t>
      </w:r>
      <w:r w:rsidR="00E7270F">
        <w:t xml:space="preserve"> regulated procurements</w:t>
      </w:r>
      <w:r w:rsidR="00793D5B">
        <w:t xml:space="preserve"> in the next two years.   </w:t>
      </w:r>
    </w:p>
    <w:p w:rsidR="00793D5B" w:rsidRDefault="00793D5B"/>
    <w:p w:rsidR="00C138E7" w:rsidRDefault="00793D5B">
      <w:r>
        <w:t xml:space="preserve">The plan for </w:t>
      </w:r>
      <w:r w:rsidR="007A4F8B">
        <w:t>Moray Council from January 2022</w:t>
      </w:r>
      <w:r w:rsidR="007D320D">
        <w:t xml:space="preserve"> </w:t>
      </w:r>
      <w:r w:rsidR="0024688A">
        <w:t>to December 2023</w:t>
      </w:r>
      <w:r>
        <w:t xml:space="preserve"> </w:t>
      </w:r>
      <w:r w:rsidR="00162F66">
        <w:t>totals:</w:t>
      </w:r>
    </w:p>
    <w:p w:rsidR="00C138E7" w:rsidRPr="00492842" w:rsidRDefault="00C138E7">
      <w:pPr>
        <w:rPr>
          <w:color w:val="FF0000"/>
        </w:rPr>
      </w:pPr>
    </w:p>
    <w:p w:rsidR="00C138E7" w:rsidRPr="0024688A" w:rsidRDefault="00793D5B">
      <w:r w:rsidRPr="0024688A">
        <w:t>Number</w:t>
      </w:r>
      <w:r w:rsidR="0024688A" w:rsidRPr="0024688A">
        <w:t xml:space="preserve"> of contracts expiring</w:t>
      </w:r>
      <w:r w:rsidRPr="0024688A">
        <w:t xml:space="preserve"> </w:t>
      </w:r>
      <w:r w:rsidR="0024688A" w:rsidRPr="0024688A">
        <w:t>233</w:t>
      </w:r>
    </w:p>
    <w:p w:rsidR="00C138E7" w:rsidRPr="0024688A" w:rsidRDefault="00696CC2">
      <w:r w:rsidRPr="0024688A">
        <w:t>Estimated</w:t>
      </w:r>
      <w:r w:rsidR="0024688A" w:rsidRPr="0024688A">
        <w:t xml:space="preserve"> value of expiring contracts £138,898,868</w:t>
      </w:r>
    </w:p>
    <w:p w:rsidR="00696CC2" w:rsidRPr="0024688A" w:rsidRDefault="00696CC2">
      <w:r w:rsidRPr="0024688A">
        <w:t>Es</w:t>
      </w:r>
      <w:r w:rsidR="0024688A" w:rsidRPr="0024688A">
        <w:t>timated annual value £40,027,464</w:t>
      </w:r>
    </w:p>
    <w:p w:rsidR="00C138E7" w:rsidRDefault="00C138E7"/>
    <w:p w:rsidR="0067029D" w:rsidRDefault="005D3ADF">
      <w:r>
        <w:t xml:space="preserve">The detail of this forward plan </w:t>
      </w:r>
      <w:r w:rsidR="00E7270F">
        <w:t>can be found in our published contract register</w:t>
      </w:r>
      <w:r w:rsidR="00793D5B">
        <w:t xml:space="preserve"> </w:t>
      </w:r>
      <w:r w:rsidR="00162F66">
        <w:t xml:space="preserve">- </w:t>
      </w:r>
      <w:hyperlink r:id="rId16" w:history="1">
        <w:r w:rsidR="00793D5B" w:rsidRPr="00793D5B">
          <w:rPr>
            <w:rStyle w:val="Hyperlink"/>
          </w:rPr>
          <w:t>Contract Register - Moray Council</w:t>
        </w:r>
      </w:hyperlink>
      <w:r w:rsidR="00E7270F">
        <w:t xml:space="preserve"> </w:t>
      </w:r>
    </w:p>
    <w:p w:rsidR="00D526AB" w:rsidRDefault="00D526AB"/>
    <w:p w:rsidR="0067029D" w:rsidRDefault="00B15C60" w:rsidP="0067029D">
      <w:pPr>
        <w:rPr>
          <w:i/>
        </w:rPr>
      </w:pPr>
      <w:r>
        <w:rPr>
          <w:i/>
        </w:rPr>
        <w:lastRenderedPageBreak/>
        <w:t>Commentary on forward plan:</w:t>
      </w:r>
    </w:p>
    <w:p w:rsidR="00E150E7" w:rsidRPr="0024688A" w:rsidRDefault="005D3ADF">
      <w:pPr>
        <w:rPr>
          <w:i/>
        </w:rPr>
      </w:pPr>
      <w:r w:rsidRPr="0024688A">
        <w:rPr>
          <w:i/>
        </w:rPr>
        <w:t>The above stati</w:t>
      </w:r>
      <w:r w:rsidR="00796BF6" w:rsidRPr="0024688A">
        <w:rPr>
          <w:i/>
        </w:rPr>
        <w:t>sti</w:t>
      </w:r>
      <w:r w:rsidRPr="0024688A">
        <w:rPr>
          <w:i/>
        </w:rPr>
        <w:t>cs are t</w:t>
      </w:r>
      <w:r w:rsidR="002A518B" w:rsidRPr="0024688A">
        <w:rPr>
          <w:i/>
        </w:rPr>
        <w:t>aken from the contract register</w:t>
      </w:r>
      <w:r w:rsidR="00796BF6" w:rsidRPr="0024688A">
        <w:rPr>
          <w:i/>
        </w:rPr>
        <w:t>.  T</w:t>
      </w:r>
      <w:r w:rsidR="002A518B" w:rsidRPr="0024688A">
        <w:rPr>
          <w:i/>
        </w:rPr>
        <w:t>his list contains all contrac</w:t>
      </w:r>
      <w:r w:rsidR="0024688A" w:rsidRPr="0024688A">
        <w:rPr>
          <w:i/>
        </w:rPr>
        <w:t>ts with an end date between January 2022 and December 2023</w:t>
      </w:r>
      <w:r w:rsidR="002F5387" w:rsidRPr="0024688A">
        <w:rPr>
          <w:i/>
        </w:rPr>
        <w:t>;</w:t>
      </w:r>
      <w:r w:rsidR="002A518B" w:rsidRPr="0024688A">
        <w:rPr>
          <w:i/>
        </w:rPr>
        <w:t xml:space="preserve"> </w:t>
      </w:r>
      <w:r w:rsidR="002F5387" w:rsidRPr="0024688A">
        <w:rPr>
          <w:i/>
        </w:rPr>
        <w:t>however</w:t>
      </w:r>
      <w:r w:rsidR="002A518B" w:rsidRPr="0024688A">
        <w:rPr>
          <w:i/>
        </w:rPr>
        <w:t xml:space="preserve"> it should be noted that some may be subject to possible extensions and some may not be re</w:t>
      </w:r>
      <w:r w:rsidR="00FC6426" w:rsidRPr="0024688A">
        <w:rPr>
          <w:i/>
        </w:rPr>
        <w:t>-</w:t>
      </w:r>
      <w:r w:rsidR="002A518B" w:rsidRPr="0024688A">
        <w:rPr>
          <w:i/>
        </w:rPr>
        <w:t xml:space="preserve">let.  </w:t>
      </w:r>
      <w:r w:rsidR="0090368B" w:rsidRPr="0024688A">
        <w:rPr>
          <w:i/>
        </w:rPr>
        <w:t>Decisions around the direction for each requirement are</w:t>
      </w:r>
      <w:r w:rsidR="002A518B" w:rsidRPr="0024688A">
        <w:rPr>
          <w:i/>
        </w:rPr>
        <w:t xml:space="preserve"> taken during the annual </w:t>
      </w:r>
      <w:r w:rsidR="001D47C2" w:rsidRPr="0024688A">
        <w:rPr>
          <w:i/>
        </w:rPr>
        <w:t xml:space="preserve">DPAP </w:t>
      </w:r>
      <w:r w:rsidR="002A518B" w:rsidRPr="0024688A">
        <w:rPr>
          <w:i/>
        </w:rPr>
        <w:t>planning process with Service Heads.</w:t>
      </w:r>
    </w:p>
    <w:p w:rsidR="002A518B" w:rsidRDefault="002A518B"/>
    <w:p w:rsidR="00162F66" w:rsidRDefault="00162F66"/>
    <w:tbl>
      <w:tblPr>
        <w:tblStyle w:val="TableGrid"/>
        <w:tblW w:w="0" w:type="auto"/>
        <w:shd w:val="clear" w:color="auto" w:fill="DBE5F1" w:themeFill="accent1" w:themeFillTint="33"/>
        <w:tblLook w:val="04A0" w:firstRow="1" w:lastRow="0" w:firstColumn="1" w:lastColumn="0" w:noHBand="0" w:noVBand="1"/>
      </w:tblPr>
      <w:tblGrid>
        <w:gridCol w:w="9016"/>
      </w:tblGrid>
      <w:tr w:rsidR="00E150E7" w:rsidTr="00435D78">
        <w:tc>
          <w:tcPr>
            <w:tcW w:w="9242" w:type="dxa"/>
            <w:shd w:val="clear" w:color="auto" w:fill="DBE5F1" w:themeFill="accent1" w:themeFillTint="33"/>
          </w:tcPr>
          <w:p w:rsidR="00E150E7" w:rsidRPr="00E150E7" w:rsidRDefault="001C303E">
            <w:pPr>
              <w:rPr>
                <w:b/>
              </w:rPr>
            </w:pPr>
            <w:r>
              <w:rPr>
                <w:b/>
              </w:rPr>
              <w:t xml:space="preserve">SECTION 4 - MORAY UPDATE </w:t>
            </w:r>
          </w:p>
        </w:tc>
      </w:tr>
    </w:tbl>
    <w:p w:rsidR="00E150E7" w:rsidRDefault="00E150E7">
      <w:pPr>
        <w:rPr>
          <w:i/>
        </w:rPr>
      </w:pPr>
    </w:p>
    <w:p w:rsidR="008C0258" w:rsidRDefault="007D320D">
      <w:r>
        <w:t xml:space="preserve">The COVID-19 pandemic had a major impact on the procurement team </w:t>
      </w:r>
      <w:r w:rsidR="00726878">
        <w:t>and its workload.  T</w:t>
      </w:r>
      <w:r>
        <w:t>he results c</w:t>
      </w:r>
      <w:r w:rsidR="00726878">
        <w:t>ontained in this report highlight the posit</w:t>
      </w:r>
      <w:r w:rsidR="0024688A">
        <w:t>i</w:t>
      </w:r>
      <w:r w:rsidR="00726878">
        <w:t xml:space="preserve">on with delays in development work and a reduction in tender activity.  Looking forward the Council has to catch up on this work but with uncertain markets and departmental resources still recovering that will not be easy.  We also have to factor in the additional </w:t>
      </w:r>
      <w:r w:rsidR="0024688A">
        <w:t xml:space="preserve">tender development </w:t>
      </w:r>
      <w:r w:rsidR="00726878">
        <w:t>work</w:t>
      </w:r>
      <w:r w:rsidR="0024688A">
        <w:t xml:space="preserve"> that will be required</w:t>
      </w:r>
      <w:r w:rsidR="00726878">
        <w:t xml:space="preserve"> stemming from the Moray Growth Deal and the new emphasis on climate change and community wealth building.  </w:t>
      </w:r>
    </w:p>
    <w:p w:rsidR="00726878" w:rsidRDefault="00726878"/>
    <w:p w:rsidR="00726878" w:rsidRPr="00617EE7" w:rsidRDefault="00726878">
      <w:pPr>
        <w:rPr>
          <w:b/>
        </w:rPr>
      </w:pPr>
      <w:r>
        <w:t xml:space="preserve">Work has been done around workload </w:t>
      </w:r>
      <w:r w:rsidR="0024688A">
        <w:t xml:space="preserve">and time </w:t>
      </w:r>
      <w:r>
        <w:t>management to ensure that we make the best of what we have</w:t>
      </w:r>
      <w:r w:rsidR="00617EE7">
        <w:t>.</w:t>
      </w:r>
      <w:r w:rsidR="00C4484E">
        <w:t xml:space="preserve">  The pandemic and Brexit has resulted in uncertain supplies and increased demand on certain markets which has produced a degree of uncertainty and availability we have not experienced before.  Although we have con</w:t>
      </w:r>
      <w:r w:rsidR="00C4484E">
        <w:lastRenderedPageBreak/>
        <w:t>cerns about recent market engagement with some tenders receiving little if any response to our published tenders and quick quotes, we are continuing to support departments to maximise their procurement potential.</w:t>
      </w:r>
    </w:p>
    <w:p w:rsidR="00F5544E" w:rsidRDefault="00F5544E"/>
    <w:p w:rsidR="00F5544E" w:rsidRDefault="00F5544E">
      <w:r w:rsidRPr="0056449B">
        <w:rPr>
          <w:b/>
        </w:rPr>
        <w:t>Moray Council Procurement Savings</w:t>
      </w:r>
      <w:r>
        <w:t xml:space="preserve"> – The Council has a process for recording the impact of contracts on the council – this includes cash and non-cash benefits. The cash savings have been categorised as follows:</w:t>
      </w:r>
    </w:p>
    <w:p w:rsidR="001F2286" w:rsidRDefault="001F2286"/>
    <w:p w:rsidR="00F5544E" w:rsidRDefault="00F5544E" w:rsidP="00F5544E">
      <w:pPr>
        <w:pStyle w:val="ListParagraph"/>
        <w:numPr>
          <w:ilvl w:val="0"/>
          <w:numId w:val="2"/>
        </w:numPr>
      </w:pPr>
      <w:r>
        <w:t>Cash saving anticipated – but budget not adjusted</w:t>
      </w:r>
    </w:p>
    <w:p w:rsidR="00F5544E" w:rsidRDefault="00F5544E" w:rsidP="00F5544E">
      <w:pPr>
        <w:pStyle w:val="ListParagraph"/>
        <w:numPr>
          <w:ilvl w:val="0"/>
          <w:numId w:val="2"/>
        </w:numPr>
      </w:pPr>
      <w:r>
        <w:t>Cash saving anticipated – budget adjusted</w:t>
      </w:r>
    </w:p>
    <w:p w:rsidR="00F5544E" w:rsidRDefault="00F5544E" w:rsidP="00F5544E">
      <w:pPr>
        <w:pStyle w:val="ListParagraph"/>
        <w:numPr>
          <w:ilvl w:val="0"/>
          <w:numId w:val="2"/>
        </w:numPr>
      </w:pPr>
      <w:r>
        <w:t>No baseline – savings cannot be established, review of contract on anniversary of award to reassess</w:t>
      </w:r>
    </w:p>
    <w:p w:rsidR="00F5544E" w:rsidRDefault="00F5544E" w:rsidP="00F5544E">
      <w:pPr>
        <w:pStyle w:val="ListParagraph"/>
        <w:numPr>
          <w:ilvl w:val="0"/>
          <w:numId w:val="2"/>
        </w:numPr>
      </w:pPr>
      <w:r>
        <w:t xml:space="preserve">No savings anticipated </w:t>
      </w:r>
    </w:p>
    <w:p w:rsidR="005F6253" w:rsidRDefault="005F6253" w:rsidP="005F6253"/>
    <w:p w:rsidR="007C4E21" w:rsidRDefault="002E3C33" w:rsidP="002E3C33">
      <w:r>
        <w:t xml:space="preserve">With Local authority finances becoming increasingly more </w:t>
      </w:r>
      <w:r w:rsidR="00726878">
        <w:t>complicated,</w:t>
      </w:r>
      <w:r>
        <w:t xml:space="preserve"> the team have developed a number of new categories of savings to try to measure the outcomes from any procurement project:</w:t>
      </w:r>
    </w:p>
    <w:p w:rsidR="002E3C33" w:rsidRDefault="002E3C33" w:rsidP="002E3C33"/>
    <w:p w:rsidR="002E3C33" w:rsidRDefault="002E3C33" w:rsidP="002E3C33">
      <w:pPr>
        <w:pStyle w:val="ListParagraph"/>
        <w:numPr>
          <w:ilvl w:val="0"/>
          <w:numId w:val="2"/>
        </w:numPr>
      </w:pPr>
      <w:r>
        <w:t>Non cash benefits</w:t>
      </w:r>
    </w:p>
    <w:p w:rsidR="002E3C33" w:rsidRDefault="002E3C33" w:rsidP="002E3C33">
      <w:pPr>
        <w:pStyle w:val="ListParagraph"/>
        <w:numPr>
          <w:ilvl w:val="0"/>
          <w:numId w:val="2"/>
        </w:numPr>
      </w:pPr>
      <w:r>
        <w:t>Capital – projects delivering savings against estimate/budget</w:t>
      </w:r>
      <w:r w:rsidR="00774AD3">
        <w:t xml:space="preserve">, total saving taken in the year the project was awarded </w:t>
      </w:r>
    </w:p>
    <w:p w:rsidR="002E3C33" w:rsidRDefault="002E3C33" w:rsidP="002E3C33">
      <w:pPr>
        <w:pStyle w:val="ListParagraph"/>
        <w:numPr>
          <w:ilvl w:val="0"/>
          <w:numId w:val="2"/>
        </w:numPr>
      </w:pPr>
      <w:r>
        <w:t>Rebate – centralised collection of contract rebates</w:t>
      </w:r>
    </w:p>
    <w:p w:rsidR="002E3C33" w:rsidRDefault="002E3C33" w:rsidP="002E3C33">
      <w:pPr>
        <w:pStyle w:val="ListParagraph"/>
        <w:numPr>
          <w:ilvl w:val="0"/>
          <w:numId w:val="2"/>
        </w:numPr>
      </w:pPr>
      <w:r>
        <w:t>Spend to Save – phased return on investment</w:t>
      </w:r>
    </w:p>
    <w:p w:rsidR="00726878" w:rsidRDefault="00726878" w:rsidP="002E3C33"/>
    <w:p w:rsidR="006950AA" w:rsidRDefault="002E4A6A">
      <w:r w:rsidRPr="002E4A6A">
        <w:rPr>
          <w:b/>
        </w:rPr>
        <w:lastRenderedPageBreak/>
        <w:t>Table 4</w:t>
      </w:r>
      <w:r>
        <w:t xml:space="preserve"> provid</w:t>
      </w:r>
      <w:r w:rsidR="007A4F8B">
        <w:t xml:space="preserve">es the results for 2020/21 </w:t>
      </w:r>
      <w:r>
        <w:t>and the previous year (comparison</w:t>
      </w:r>
      <w:r w:rsidR="006950AA">
        <w:t xml:space="preserve">).  </w:t>
      </w:r>
    </w:p>
    <w:p w:rsidR="00AC1E33" w:rsidRDefault="00AC1E33"/>
    <w:p w:rsidR="00F5544E" w:rsidRPr="001C303E" w:rsidRDefault="002E4A6A">
      <w:pPr>
        <w:rPr>
          <w:b/>
        </w:rPr>
      </w:pPr>
      <w:r>
        <w:rPr>
          <w:b/>
        </w:rPr>
        <w:t>TABLE 4</w:t>
      </w:r>
    </w:p>
    <w:tbl>
      <w:tblPr>
        <w:tblStyle w:val="TableGrid"/>
        <w:tblW w:w="0" w:type="auto"/>
        <w:tblLook w:val="04A0" w:firstRow="1" w:lastRow="0" w:firstColumn="1" w:lastColumn="0" w:noHBand="0" w:noVBand="1"/>
      </w:tblPr>
      <w:tblGrid>
        <w:gridCol w:w="2999"/>
        <w:gridCol w:w="2091"/>
        <w:gridCol w:w="3926"/>
      </w:tblGrid>
      <w:tr w:rsidR="00DE2A7E" w:rsidRPr="00696F61" w:rsidTr="007242CE">
        <w:tc>
          <w:tcPr>
            <w:tcW w:w="9016" w:type="dxa"/>
            <w:gridSpan w:val="3"/>
            <w:shd w:val="clear" w:color="auto" w:fill="DBE5F1" w:themeFill="accent1" w:themeFillTint="33"/>
          </w:tcPr>
          <w:p w:rsidR="00DE2A7E" w:rsidRPr="00696F61" w:rsidRDefault="008E4A0E" w:rsidP="00617EE7">
            <w:pPr>
              <w:rPr>
                <w:b/>
              </w:rPr>
            </w:pPr>
            <w:r w:rsidRPr="00696F61">
              <w:rPr>
                <w:b/>
              </w:rPr>
              <w:t>Cash Savings 20</w:t>
            </w:r>
            <w:r w:rsidR="00726878">
              <w:rPr>
                <w:b/>
              </w:rPr>
              <w:t>20/21</w:t>
            </w:r>
            <w:r w:rsidRPr="00696F61">
              <w:rPr>
                <w:b/>
              </w:rPr>
              <w:t xml:space="preserve"> (201</w:t>
            </w:r>
            <w:r w:rsidR="00726878">
              <w:rPr>
                <w:b/>
              </w:rPr>
              <w:t>9/20</w:t>
            </w:r>
            <w:r w:rsidR="00DE2A7E" w:rsidRPr="00696F61">
              <w:rPr>
                <w:b/>
              </w:rPr>
              <w:t>)</w:t>
            </w:r>
          </w:p>
        </w:tc>
      </w:tr>
      <w:tr w:rsidR="007242CE" w:rsidTr="007242CE">
        <w:tc>
          <w:tcPr>
            <w:tcW w:w="2999" w:type="dxa"/>
          </w:tcPr>
          <w:p w:rsidR="00F5544E" w:rsidRPr="00B122D6" w:rsidRDefault="00DE2A7E">
            <w:r w:rsidRPr="00B122D6">
              <w:t>Category of Saving</w:t>
            </w:r>
          </w:p>
        </w:tc>
        <w:tc>
          <w:tcPr>
            <w:tcW w:w="2091" w:type="dxa"/>
          </w:tcPr>
          <w:p w:rsidR="00F5544E" w:rsidRPr="00B122D6" w:rsidRDefault="00DE2A7E">
            <w:r w:rsidRPr="00B122D6">
              <w:t xml:space="preserve">Recurring savings </w:t>
            </w:r>
          </w:p>
          <w:p w:rsidR="00734728" w:rsidRPr="00B122D6" w:rsidRDefault="00734728"/>
          <w:p w:rsidR="00DE2A7E" w:rsidRPr="00B122D6" w:rsidRDefault="008B4413" w:rsidP="00B15C60">
            <w:pPr>
              <w:jc w:val="center"/>
            </w:pPr>
            <w:r w:rsidRPr="00B122D6">
              <w:t>£</w:t>
            </w:r>
            <w:r w:rsidR="00B15C60" w:rsidRPr="00B122D6">
              <w:t xml:space="preserve"> m</w:t>
            </w:r>
            <w:r w:rsidRPr="00B122D6">
              <w:t>illion</w:t>
            </w:r>
          </w:p>
        </w:tc>
        <w:tc>
          <w:tcPr>
            <w:tcW w:w="3926" w:type="dxa"/>
          </w:tcPr>
          <w:p w:rsidR="00F5544E" w:rsidRPr="00B122D6" w:rsidRDefault="00DE2A7E">
            <w:r w:rsidRPr="00B122D6">
              <w:t>Savings for year</w:t>
            </w:r>
            <w:r w:rsidR="00734728" w:rsidRPr="00B122D6">
              <w:t xml:space="preserve"> (adjusted for start and end date)</w:t>
            </w:r>
          </w:p>
          <w:p w:rsidR="00DE2A7E" w:rsidRPr="00B122D6" w:rsidRDefault="008B4413" w:rsidP="00B15C60">
            <w:pPr>
              <w:jc w:val="center"/>
            </w:pPr>
            <w:r w:rsidRPr="00B122D6">
              <w:t>£</w:t>
            </w:r>
            <w:r w:rsidR="00B15C60" w:rsidRPr="00B122D6">
              <w:t xml:space="preserve"> m</w:t>
            </w:r>
            <w:r w:rsidRPr="00B122D6">
              <w:t>illion</w:t>
            </w:r>
          </w:p>
        </w:tc>
      </w:tr>
      <w:tr w:rsidR="007242CE" w:rsidTr="007242CE">
        <w:tc>
          <w:tcPr>
            <w:tcW w:w="2999" w:type="dxa"/>
          </w:tcPr>
          <w:p w:rsidR="00F5544E" w:rsidRPr="00B122D6" w:rsidRDefault="00DE2A7E">
            <w:r w:rsidRPr="00B122D6">
              <w:t>1</w:t>
            </w:r>
            <w:r w:rsidR="00865558" w:rsidRPr="00B122D6">
              <w:t xml:space="preserve"> Budget not adjusted</w:t>
            </w:r>
          </w:p>
        </w:tc>
        <w:tc>
          <w:tcPr>
            <w:tcW w:w="2091" w:type="dxa"/>
          </w:tcPr>
          <w:p w:rsidR="00F5544E" w:rsidRPr="00B122D6" w:rsidRDefault="007242CE" w:rsidP="00726878">
            <w:pPr>
              <w:jc w:val="right"/>
            </w:pPr>
            <w:r w:rsidRPr="00B122D6">
              <w:t xml:space="preserve">0.784 </w:t>
            </w:r>
            <w:r w:rsidR="00726878" w:rsidRPr="00B122D6">
              <w:t>(</w:t>
            </w:r>
            <w:r w:rsidR="00492842" w:rsidRPr="00B122D6">
              <w:t>0.835</w:t>
            </w:r>
            <w:r w:rsidR="00726878" w:rsidRPr="00B122D6">
              <w:t>)</w:t>
            </w:r>
          </w:p>
        </w:tc>
        <w:tc>
          <w:tcPr>
            <w:tcW w:w="3926" w:type="dxa"/>
          </w:tcPr>
          <w:p w:rsidR="00F5544E" w:rsidRPr="00B122D6" w:rsidRDefault="00841D7D" w:rsidP="007242CE">
            <w:pPr>
              <w:jc w:val="right"/>
            </w:pPr>
            <w:r>
              <w:t>0.</w:t>
            </w:r>
            <w:r w:rsidR="007242CE" w:rsidRPr="00B122D6">
              <w:t>763 (</w:t>
            </w:r>
            <w:r w:rsidR="00492842" w:rsidRPr="00B122D6">
              <w:t>0.755</w:t>
            </w:r>
            <w:r w:rsidR="007242CE" w:rsidRPr="00B122D6">
              <w:t>)</w:t>
            </w:r>
          </w:p>
        </w:tc>
      </w:tr>
      <w:tr w:rsidR="007242CE" w:rsidTr="007242CE">
        <w:tc>
          <w:tcPr>
            <w:tcW w:w="2999" w:type="dxa"/>
          </w:tcPr>
          <w:p w:rsidR="00F5544E" w:rsidRPr="00B122D6" w:rsidRDefault="00DE2A7E">
            <w:r w:rsidRPr="00B122D6">
              <w:t>2</w:t>
            </w:r>
            <w:r w:rsidR="00865558" w:rsidRPr="00B122D6">
              <w:t xml:space="preserve"> Budget ad</w:t>
            </w:r>
            <w:r w:rsidR="008F0074" w:rsidRPr="00B122D6">
              <w:t>justed</w:t>
            </w:r>
          </w:p>
        </w:tc>
        <w:tc>
          <w:tcPr>
            <w:tcW w:w="2091" w:type="dxa"/>
          </w:tcPr>
          <w:p w:rsidR="00F5544E" w:rsidRPr="00B122D6" w:rsidRDefault="007242CE" w:rsidP="00617EE7">
            <w:pPr>
              <w:jc w:val="right"/>
            </w:pPr>
            <w:r w:rsidRPr="00B122D6">
              <w:t>1</w:t>
            </w:r>
            <w:r w:rsidR="00617EE7">
              <w:t>.</w:t>
            </w:r>
            <w:r w:rsidRPr="00B122D6">
              <w:t xml:space="preserve">010 </w:t>
            </w:r>
            <w:r w:rsidR="00726878" w:rsidRPr="00B122D6">
              <w:t>(</w:t>
            </w:r>
            <w:r w:rsidR="00492842" w:rsidRPr="00B122D6">
              <w:t>1.074</w:t>
            </w:r>
            <w:r w:rsidR="00726878" w:rsidRPr="00B122D6">
              <w:t>)</w:t>
            </w:r>
          </w:p>
        </w:tc>
        <w:tc>
          <w:tcPr>
            <w:tcW w:w="3926" w:type="dxa"/>
          </w:tcPr>
          <w:p w:rsidR="00F5544E" w:rsidRPr="00B122D6" w:rsidRDefault="00841D7D" w:rsidP="007242CE">
            <w:pPr>
              <w:jc w:val="right"/>
            </w:pPr>
            <w:r>
              <w:t>0.</w:t>
            </w:r>
            <w:r w:rsidR="007242CE" w:rsidRPr="00B122D6">
              <w:t>977 (</w:t>
            </w:r>
            <w:r w:rsidR="005A03B4" w:rsidRPr="00B122D6">
              <w:t>1.0</w:t>
            </w:r>
            <w:r w:rsidR="00492842" w:rsidRPr="00B122D6">
              <w:t>50</w:t>
            </w:r>
            <w:r w:rsidR="007242CE" w:rsidRPr="00B122D6">
              <w:t>)</w:t>
            </w:r>
          </w:p>
        </w:tc>
      </w:tr>
      <w:tr w:rsidR="007242CE" w:rsidTr="007242CE">
        <w:tc>
          <w:tcPr>
            <w:tcW w:w="2999" w:type="dxa"/>
          </w:tcPr>
          <w:p w:rsidR="008E4A0E" w:rsidRPr="00B122D6" w:rsidRDefault="008E4A0E" w:rsidP="00595AC3">
            <w:r w:rsidRPr="00B122D6">
              <w:t>Total</w:t>
            </w:r>
          </w:p>
        </w:tc>
        <w:tc>
          <w:tcPr>
            <w:tcW w:w="2091" w:type="dxa"/>
          </w:tcPr>
          <w:p w:rsidR="008E4A0E" w:rsidRPr="00B122D6" w:rsidRDefault="007242CE" w:rsidP="00617EE7">
            <w:pPr>
              <w:jc w:val="right"/>
            </w:pPr>
            <w:r w:rsidRPr="00B122D6">
              <w:t>1</w:t>
            </w:r>
            <w:r w:rsidR="00617EE7">
              <w:t>.</w:t>
            </w:r>
            <w:r w:rsidRPr="00B122D6">
              <w:t xml:space="preserve">794 </w:t>
            </w:r>
            <w:r w:rsidR="00726878" w:rsidRPr="00B122D6">
              <w:t>(</w:t>
            </w:r>
            <w:r w:rsidR="00492842" w:rsidRPr="00B122D6">
              <w:t>1.909</w:t>
            </w:r>
            <w:r w:rsidR="00726878" w:rsidRPr="00B122D6">
              <w:t>)</w:t>
            </w:r>
            <w:r w:rsidR="008E4A0E" w:rsidRPr="00B122D6">
              <w:t xml:space="preserve"> </w:t>
            </w:r>
          </w:p>
        </w:tc>
        <w:tc>
          <w:tcPr>
            <w:tcW w:w="3926" w:type="dxa"/>
          </w:tcPr>
          <w:p w:rsidR="008E4A0E" w:rsidRPr="00B122D6" w:rsidRDefault="007242CE" w:rsidP="007242CE">
            <w:pPr>
              <w:jc w:val="right"/>
            </w:pPr>
            <w:r w:rsidRPr="00B122D6">
              <w:t>1.740 (</w:t>
            </w:r>
            <w:r w:rsidR="005A03B4" w:rsidRPr="00B122D6">
              <w:t>1.80</w:t>
            </w:r>
            <w:r w:rsidR="00492842" w:rsidRPr="00B122D6">
              <w:t>5</w:t>
            </w:r>
            <w:r w:rsidRPr="00B122D6">
              <w:t>)</w:t>
            </w:r>
          </w:p>
        </w:tc>
      </w:tr>
      <w:tr w:rsidR="007242CE" w:rsidTr="007242CE">
        <w:tc>
          <w:tcPr>
            <w:tcW w:w="2999" w:type="dxa"/>
          </w:tcPr>
          <w:p w:rsidR="008E4A0E" w:rsidRPr="00B122D6" w:rsidRDefault="008E4A0E">
            <w:r w:rsidRPr="00B122D6">
              <w:t>6</w:t>
            </w:r>
            <w:r w:rsidR="005A03B4" w:rsidRPr="00B122D6">
              <w:t xml:space="preserve"> Capital</w:t>
            </w:r>
          </w:p>
        </w:tc>
        <w:tc>
          <w:tcPr>
            <w:tcW w:w="2091" w:type="dxa"/>
            <w:shd w:val="clear" w:color="auto" w:fill="DBE5F1" w:themeFill="accent1" w:themeFillTint="33"/>
          </w:tcPr>
          <w:p w:rsidR="008E4A0E" w:rsidRPr="00B122D6" w:rsidRDefault="00774AD3" w:rsidP="00774AD3">
            <w:pPr>
              <w:jc w:val="center"/>
            </w:pPr>
            <w:r w:rsidRPr="00B122D6">
              <w:t>N/A</w:t>
            </w:r>
          </w:p>
        </w:tc>
        <w:tc>
          <w:tcPr>
            <w:tcW w:w="3926" w:type="dxa"/>
          </w:tcPr>
          <w:p w:rsidR="008E4A0E" w:rsidRPr="00B122D6" w:rsidRDefault="007242CE" w:rsidP="007242CE">
            <w:pPr>
              <w:jc w:val="right"/>
            </w:pPr>
            <w:r w:rsidRPr="00B122D6">
              <w:t>0.213(</w:t>
            </w:r>
            <w:r w:rsidR="00492842" w:rsidRPr="00B122D6">
              <w:t>0.190</w:t>
            </w:r>
            <w:r w:rsidRPr="00B122D6">
              <w:t>)</w:t>
            </w:r>
          </w:p>
        </w:tc>
      </w:tr>
      <w:tr w:rsidR="007242CE" w:rsidTr="007242CE">
        <w:tc>
          <w:tcPr>
            <w:tcW w:w="2999" w:type="dxa"/>
          </w:tcPr>
          <w:p w:rsidR="008E4A0E" w:rsidRPr="00B122D6" w:rsidRDefault="008E4A0E">
            <w:r w:rsidRPr="00B122D6">
              <w:t>7</w:t>
            </w:r>
            <w:r w:rsidR="005A03B4" w:rsidRPr="00B122D6">
              <w:t xml:space="preserve"> Rebate</w:t>
            </w:r>
          </w:p>
        </w:tc>
        <w:tc>
          <w:tcPr>
            <w:tcW w:w="2091" w:type="dxa"/>
            <w:shd w:val="clear" w:color="auto" w:fill="DBE5F1" w:themeFill="accent1" w:themeFillTint="33"/>
          </w:tcPr>
          <w:p w:rsidR="008E4A0E" w:rsidRPr="00B122D6" w:rsidRDefault="00774AD3" w:rsidP="00774AD3">
            <w:pPr>
              <w:jc w:val="center"/>
            </w:pPr>
            <w:r w:rsidRPr="00B122D6">
              <w:t>N/A</w:t>
            </w:r>
          </w:p>
        </w:tc>
        <w:tc>
          <w:tcPr>
            <w:tcW w:w="3926" w:type="dxa"/>
          </w:tcPr>
          <w:p w:rsidR="008E4A0E" w:rsidRPr="00B122D6" w:rsidRDefault="007242CE" w:rsidP="007242CE">
            <w:pPr>
              <w:jc w:val="right"/>
            </w:pPr>
            <w:r w:rsidRPr="00B122D6">
              <w:t>0.024 (0.030)</w:t>
            </w:r>
          </w:p>
        </w:tc>
      </w:tr>
    </w:tbl>
    <w:p w:rsidR="006D0C6F" w:rsidRDefault="006D0C6F"/>
    <w:p w:rsidR="008F0074" w:rsidRDefault="008F0074" w:rsidP="008F0074">
      <w:pPr>
        <w:rPr>
          <w:i/>
        </w:rPr>
      </w:pPr>
      <w:r>
        <w:rPr>
          <w:i/>
        </w:rPr>
        <w:t>Commentary on savings achieved:</w:t>
      </w:r>
    </w:p>
    <w:p w:rsidR="007242CE" w:rsidRDefault="007242CE" w:rsidP="008F0074">
      <w:pPr>
        <w:rPr>
          <w:i/>
        </w:rPr>
      </w:pPr>
    </w:p>
    <w:p w:rsidR="00E30619" w:rsidRDefault="00617EE7" w:rsidP="007242CE">
      <w:pPr>
        <w:rPr>
          <w:i/>
        </w:rPr>
      </w:pPr>
      <w:r>
        <w:rPr>
          <w:i/>
        </w:rPr>
        <w:t>T</w:t>
      </w:r>
      <w:r w:rsidR="00E30619">
        <w:rPr>
          <w:i/>
        </w:rPr>
        <w:t xml:space="preserve">here is a recorded reduction in the overall total of savings from </w:t>
      </w:r>
      <w:r>
        <w:rPr>
          <w:i/>
        </w:rPr>
        <w:t>£</w:t>
      </w:r>
      <w:r w:rsidR="00E30619">
        <w:rPr>
          <w:i/>
        </w:rPr>
        <w:t>1.909</w:t>
      </w:r>
      <w:r>
        <w:rPr>
          <w:i/>
        </w:rPr>
        <w:t xml:space="preserve"> million</w:t>
      </w:r>
      <w:r w:rsidR="00E30619">
        <w:rPr>
          <w:i/>
        </w:rPr>
        <w:t xml:space="preserve"> to </w:t>
      </w:r>
      <w:r>
        <w:rPr>
          <w:i/>
        </w:rPr>
        <w:t>£</w:t>
      </w:r>
      <w:r w:rsidR="00E30619">
        <w:rPr>
          <w:i/>
        </w:rPr>
        <w:t>1.794</w:t>
      </w:r>
      <w:r>
        <w:rPr>
          <w:i/>
        </w:rPr>
        <w:t xml:space="preserve"> million.  F</w:t>
      </w:r>
      <w:r w:rsidR="00E30619">
        <w:rPr>
          <w:i/>
        </w:rPr>
        <w:t>urther analysis of the recurring savings data highlights that th</w:t>
      </w:r>
      <w:r>
        <w:rPr>
          <w:i/>
        </w:rPr>
        <w:t>ere</w:t>
      </w:r>
      <w:r w:rsidR="00E30619">
        <w:rPr>
          <w:i/>
        </w:rPr>
        <w:t xml:space="preserve"> has been a consistent </w:t>
      </w:r>
      <w:r>
        <w:rPr>
          <w:i/>
        </w:rPr>
        <w:t>reduction</w:t>
      </w:r>
      <w:r w:rsidR="00C4484E">
        <w:rPr>
          <w:i/>
        </w:rPr>
        <w:t xml:space="preserve"> in most areas, sector</w:t>
      </w:r>
      <w:r w:rsidR="00E30619">
        <w:rPr>
          <w:i/>
        </w:rPr>
        <w:t>al and local contracts</w:t>
      </w:r>
      <w:r>
        <w:rPr>
          <w:i/>
        </w:rPr>
        <w:t>,</w:t>
      </w:r>
      <w:r w:rsidR="00E30619">
        <w:rPr>
          <w:i/>
        </w:rPr>
        <w:t xml:space="preserve"> with the </w:t>
      </w:r>
      <w:r>
        <w:rPr>
          <w:i/>
        </w:rPr>
        <w:t>savings</w:t>
      </w:r>
      <w:r w:rsidR="00E30619">
        <w:rPr>
          <w:i/>
        </w:rPr>
        <w:t xml:space="preserve"> coming from national and “other” category (frameworks from other organisations such as Procurement Alliance).  This </w:t>
      </w:r>
      <w:r>
        <w:rPr>
          <w:i/>
        </w:rPr>
        <w:t xml:space="preserve">significant level of savings </w:t>
      </w:r>
      <w:r w:rsidR="00E30619">
        <w:rPr>
          <w:i/>
        </w:rPr>
        <w:t xml:space="preserve">has been achieved despite the pandemic and with changing workloads.   Over half </w:t>
      </w:r>
      <w:r w:rsidR="00A56B22">
        <w:rPr>
          <w:i/>
        </w:rPr>
        <w:t xml:space="preserve">of the savings, </w:t>
      </w:r>
      <w:r w:rsidR="00E30619">
        <w:rPr>
          <w:i/>
        </w:rPr>
        <w:t xml:space="preserve">56% has been identified by our colleagues in Accountancy as budget adjusted </w:t>
      </w:r>
      <w:r>
        <w:rPr>
          <w:i/>
        </w:rPr>
        <w:t>and therefore contributing to the Council’s savings target</w:t>
      </w:r>
      <w:r w:rsidR="00841D7D">
        <w:rPr>
          <w:i/>
        </w:rPr>
        <w:t xml:space="preserve"> </w:t>
      </w:r>
      <w:r w:rsidR="00E30619">
        <w:rPr>
          <w:i/>
        </w:rPr>
        <w:t xml:space="preserve">and </w:t>
      </w:r>
      <w:r w:rsidR="00A56B22">
        <w:rPr>
          <w:i/>
        </w:rPr>
        <w:t xml:space="preserve">this is the second consecutive year we have seen this </w:t>
      </w:r>
      <w:r w:rsidR="00841D7D">
        <w:rPr>
          <w:i/>
        </w:rPr>
        <w:t>level of achievement</w:t>
      </w:r>
      <w:r w:rsidR="00A56B22">
        <w:rPr>
          <w:i/>
        </w:rPr>
        <w:t xml:space="preserve">. </w:t>
      </w:r>
    </w:p>
    <w:p w:rsidR="005A03B4" w:rsidRDefault="005A03B4"/>
    <w:p w:rsidR="00162F66" w:rsidRDefault="008C0258" w:rsidP="00BC3B45">
      <w:r w:rsidRPr="0056449B">
        <w:rPr>
          <w:b/>
        </w:rPr>
        <w:lastRenderedPageBreak/>
        <w:t>Procurement Commercial Improvement Programme</w:t>
      </w:r>
      <w:r w:rsidR="0071206E" w:rsidRPr="0056449B">
        <w:rPr>
          <w:b/>
        </w:rPr>
        <w:t xml:space="preserve"> (PCIP)</w:t>
      </w:r>
      <w:r>
        <w:t xml:space="preserve"> – </w:t>
      </w:r>
      <w:r w:rsidR="008F0074" w:rsidRPr="00A712EE">
        <w:t xml:space="preserve">a national evidence based audit for all public organisations, which considers a </w:t>
      </w:r>
      <w:r w:rsidR="00A712EE" w:rsidRPr="00A712EE">
        <w:t>wide-ranging</w:t>
      </w:r>
      <w:r w:rsidR="008F0074" w:rsidRPr="00A712EE">
        <w:t xml:space="preserve"> set of competencies.  Normally </w:t>
      </w:r>
      <w:r w:rsidR="00A712EE" w:rsidRPr="00A712EE">
        <w:t>carried out every two years the programme</w:t>
      </w:r>
      <w:r w:rsidR="007A4F8B">
        <w:t xml:space="preserve"> has been suspended due to COVID</w:t>
      </w:r>
      <w:r w:rsidR="00A712EE" w:rsidRPr="00A712EE">
        <w:t>-19.  Moray Council’s last assessment was in March 2018, this resulted in a score of 64%</w:t>
      </w:r>
      <w:r w:rsidR="00B764DA">
        <w:t>,</w:t>
      </w:r>
      <w:r w:rsidR="00A712EE" w:rsidRPr="00A712EE">
        <w:t xml:space="preserve"> which took us from Level</w:t>
      </w:r>
      <w:r w:rsidR="008A4601">
        <w:t xml:space="preserve"> </w:t>
      </w:r>
      <w:r w:rsidR="004A360D">
        <w:t>2</w:t>
      </w:r>
      <w:r w:rsidR="00A712EE" w:rsidRPr="00A712EE">
        <w:t xml:space="preserve"> to Level 3 (silver)</w:t>
      </w:r>
      <w:r w:rsidR="00B764DA">
        <w:t xml:space="preserve"> but left us short of the national Local Authority average of 70%.</w:t>
      </w:r>
      <w:r w:rsidR="006A1ED6">
        <w:t xml:space="preserve">  </w:t>
      </w:r>
    </w:p>
    <w:p w:rsidR="00F9792E" w:rsidRDefault="00F9792E" w:rsidP="00BC3B45"/>
    <w:p w:rsidR="00F9792E" w:rsidRPr="007242CE" w:rsidRDefault="00F9792E" w:rsidP="00BC3B45">
      <w:r w:rsidRPr="00841D7D">
        <w:rPr>
          <w:b/>
        </w:rPr>
        <w:t>Supplier engagement</w:t>
      </w:r>
      <w:r>
        <w:t xml:space="preserve"> – The Council continued to work with Supplier Development Programme (SDP) throughout the pandemic.  The SPD switched quickly from face to face supplier support to virtual training and meet the buyer events.  This included a successful Meet the Buyer North event which was support by the Payments Manger in her role as Board member for the SDP and the procurement team who manned the Moray virtual stand.  </w:t>
      </w:r>
    </w:p>
    <w:p w:rsidR="00162F66" w:rsidRDefault="00162F66" w:rsidP="00BC3B45">
      <w:pPr>
        <w:rPr>
          <w:i/>
        </w:rPr>
      </w:pPr>
    </w:p>
    <w:tbl>
      <w:tblPr>
        <w:tblStyle w:val="TableGrid"/>
        <w:tblW w:w="0" w:type="auto"/>
        <w:shd w:val="clear" w:color="auto" w:fill="DBE5F1" w:themeFill="accent1" w:themeFillTint="33"/>
        <w:tblLook w:val="04A0" w:firstRow="1" w:lastRow="0" w:firstColumn="1" w:lastColumn="0" w:noHBand="0" w:noVBand="1"/>
      </w:tblPr>
      <w:tblGrid>
        <w:gridCol w:w="9016"/>
      </w:tblGrid>
      <w:tr w:rsidR="00BC3B45" w:rsidRPr="00BC3B45" w:rsidTr="00BC3B45">
        <w:tc>
          <w:tcPr>
            <w:tcW w:w="9242" w:type="dxa"/>
            <w:shd w:val="clear" w:color="auto" w:fill="DBE5F1" w:themeFill="accent1" w:themeFillTint="33"/>
          </w:tcPr>
          <w:p w:rsidR="00BC3B45" w:rsidRPr="00BC3B45" w:rsidRDefault="00BC3B45" w:rsidP="00BC3B45">
            <w:pPr>
              <w:rPr>
                <w:b/>
              </w:rPr>
            </w:pPr>
            <w:r w:rsidRPr="00BC3B45">
              <w:rPr>
                <w:b/>
              </w:rPr>
              <w:t>SECTION 5 - SUMMARY</w:t>
            </w:r>
          </w:p>
        </w:tc>
      </w:tr>
    </w:tbl>
    <w:p w:rsidR="00435D78" w:rsidRPr="00E04D03" w:rsidRDefault="00435D78" w:rsidP="00FA46BB">
      <w:pPr>
        <w:rPr>
          <w:i/>
        </w:rPr>
      </w:pPr>
    </w:p>
    <w:p w:rsidR="006974E5" w:rsidRPr="00841D7D" w:rsidRDefault="0002401A" w:rsidP="006974E5">
      <w:pPr>
        <w:rPr>
          <w:rFonts w:asciiTheme="minorHAnsi" w:eastAsia="Calibri" w:hAnsiTheme="minorHAnsi" w:cstheme="minorHAnsi"/>
        </w:rPr>
      </w:pPr>
      <w:r w:rsidRPr="00E04D03">
        <w:t>The significant</w:t>
      </w:r>
      <w:r w:rsidR="00AA5ED1">
        <w:t>, year on year,</w:t>
      </w:r>
      <w:r w:rsidRPr="00E04D03">
        <w:t xml:space="preserve"> improvements</w:t>
      </w:r>
      <w:r w:rsidR="000F4588" w:rsidRPr="00E04D03">
        <w:t xml:space="preserve"> evidenced </w:t>
      </w:r>
      <w:r w:rsidR="00AA5ED1">
        <w:t>by the PCA</w:t>
      </w:r>
      <w:r w:rsidR="00B764DA">
        <w:t xml:space="preserve"> (predecessor to PCIP</w:t>
      </w:r>
      <w:r w:rsidR="00AA5ED1">
        <w:t>19% 2009 to 64% 2014</w:t>
      </w:r>
      <w:r w:rsidR="00B764DA">
        <w:t xml:space="preserve"> and PCIP 60.4 2016 to 64% 2018 </w:t>
      </w:r>
      <w:r w:rsidR="00AA5ED1">
        <w:t xml:space="preserve">have now stalled, mainly due to </w:t>
      </w:r>
      <w:r w:rsidR="008F7060">
        <w:t xml:space="preserve">lack of </w:t>
      </w:r>
      <w:r w:rsidR="006974E5">
        <w:t xml:space="preserve">staffing </w:t>
      </w:r>
      <w:r w:rsidR="00AA5ED1">
        <w:t>resources</w:t>
      </w:r>
      <w:r w:rsidR="00841D7D">
        <w:t xml:space="preserve"> </w:t>
      </w:r>
      <w:r w:rsidR="006974E5">
        <w:t>(including a long term Assistant Manager vacancy)</w:t>
      </w:r>
      <w:r w:rsidR="00AA5ED1">
        <w:t xml:space="preserve"> and </w:t>
      </w:r>
      <w:r w:rsidR="007242CE">
        <w:t>with the programme now suspended due to the pandemic we are unlikely to see any recorded improvement in the short term.</w:t>
      </w:r>
      <w:r w:rsidR="006974E5">
        <w:t xml:space="preserve">  </w:t>
      </w:r>
      <w:r w:rsidR="006974E5" w:rsidRPr="00841D7D">
        <w:rPr>
          <w:rFonts w:asciiTheme="minorHAnsi" w:eastAsia="Calibri" w:hAnsiTheme="minorHAnsi" w:cstheme="minorHAnsi"/>
        </w:rPr>
        <w:t>However, a</w:t>
      </w:r>
      <w:r w:rsidR="006974E5" w:rsidRPr="00841D7D">
        <w:rPr>
          <w:rFonts w:asciiTheme="minorHAnsi" w:hAnsiTheme="minorHAnsi" w:cstheme="minorHAnsi"/>
        </w:rPr>
        <w:t>dditional staffing resources were approved during 2019/20 to meet the workload associated with Moray Growth Deal and the new focus on community wealth building and cli</w:t>
      </w:r>
      <w:r w:rsidR="006974E5" w:rsidRPr="00841D7D">
        <w:rPr>
          <w:rFonts w:asciiTheme="minorHAnsi" w:hAnsiTheme="minorHAnsi" w:cstheme="minorHAnsi"/>
        </w:rPr>
        <w:lastRenderedPageBreak/>
        <w:t>mate chang</w:t>
      </w:r>
      <w:r w:rsidR="006974E5" w:rsidRPr="006974E5">
        <w:rPr>
          <w:rFonts w:asciiTheme="minorHAnsi" w:hAnsiTheme="minorHAnsi" w:cstheme="minorHAnsi"/>
        </w:rPr>
        <w:t>e.  This</w:t>
      </w:r>
      <w:r w:rsidR="006974E5">
        <w:rPr>
          <w:rFonts w:asciiTheme="minorHAnsi" w:hAnsiTheme="minorHAnsi" w:cstheme="minorHAnsi"/>
        </w:rPr>
        <w:t xml:space="preserve"> Procurement officer</w:t>
      </w:r>
      <w:r w:rsidR="006974E5" w:rsidRPr="00841D7D">
        <w:rPr>
          <w:rFonts w:asciiTheme="minorHAnsi" w:hAnsiTheme="minorHAnsi" w:cstheme="minorHAnsi"/>
        </w:rPr>
        <w:t xml:space="preserve"> post </w:t>
      </w:r>
      <w:r w:rsidR="006974E5" w:rsidRPr="006974E5">
        <w:rPr>
          <w:rFonts w:asciiTheme="minorHAnsi" w:hAnsiTheme="minorHAnsi" w:cstheme="minorHAnsi"/>
        </w:rPr>
        <w:t xml:space="preserve">and </w:t>
      </w:r>
      <w:r w:rsidR="006974E5">
        <w:rPr>
          <w:rFonts w:asciiTheme="minorHAnsi" w:hAnsiTheme="minorHAnsi" w:cstheme="minorHAnsi"/>
        </w:rPr>
        <w:t xml:space="preserve">the </w:t>
      </w:r>
      <w:r w:rsidR="006974E5" w:rsidRPr="00841D7D">
        <w:rPr>
          <w:rFonts w:asciiTheme="minorHAnsi" w:hAnsiTheme="minorHAnsi" w:cstheme="minorHAnsi"/>
        </w:rPr>
        <w:t xml:space="preserve">Assistant Procurement Manager </w:t>
      </w:r>
      <w:r w:rsidR="006974E5">
        <w:rPr>
          <w:rFonts w:asciiTheme="minorHAnsi" w:hAnsiTheme="minorHAnsi" w:cstheme="minorHAnsi"/>
        </w:rPr>
        <w:t xml:space="preserve">vacancy </w:t>
      </w:r>
      <w:r w:rsidR="006974E5" w:rsidRPr="00841D7D">
        <w:rPr>
          <w:rFonts w:asciiTheme="minorHAnsi" w:hAnsiTheme="minorHAnsi" w:cstheme="minorHAnsi"/>
        </w:rPr>
        <w:t xml:space="preserve">were filled in quarter 3 of 2020/21.  This staffing change has improved the team’s ability to recover from the backlog of work created by the pandemic and start to work on the strategic developments outlined in the 2021/22 Strategy Action Plan. </w:t>
      </w:r>
    </w:p>
    <w:p w:rsidR="006974E5" w:rsidRDefault="006974E5" w:rsidP="006974E5">
      <w:pPr>
        <w:rPr>
          <w:rFonts w:ascii="Arial" w:hAnsi="Arial"/>
        </w:rPr>
      </w:pPr>
      <w:r>
        <w:rPr>
          <w:rFonts w:ascii="Arial" w:hAnsi="Arial"/>
        </w:rPr>
        <w:t xml:space="preserve"> </w:t>
      </w:r>
    </w:p>
    <w:p w:rsidR="00A03D64" w:rsidRDefault="00F570C7" w:rsidP="00FA46BB">
      <w:r>
        <w:t>The Procurement team</w:t>
      </w:r>
      <w:r w:rsidR="00A03D64">
        <w:t xml:space="preserve"> have seen a change in the quantity and level of support being requested by Departments with a significant increase in activity.  At the end of 2020/2021 our activity programme recorded a total of 412 projects, 186 still work in progress and 226 completed.  An analysis of the completed work does highlight </w:t>
      </w:r>
      <w:r>
        <w:t>however a s</w:t>
      </w:r>
      <w:r w:rsidR="00A03D64">
        <w:t>ignificant number of proj</w:t>
      </w:r>
      <w:r>
        <w:t>ects that were no longer needed, pulled or</w:t>
      </w:r>
      <w:r w:rsidR="00A03D64">
        <w:t xml:space="preserve"> </w:t>
      </w:r>
      <w:r>
        <w:t xml:space="preserve">deferred for various reasons.   </w:t>
      </w:r>
      <w:r w:rsidR="00841D7D">
        <w:t>Thirty</w:t>
      </w:r>
      <w:r>
        <w:t xml:space="preserve"> contracts were extended under the COVID emergency regime and 23 tenders reach</w:t>
      </w:r>
      <w:r w:rsidR="00841D7D">
        <w:t>ed</w:t>
      </w:r>
      <w:r>
        <w:t xml:space="preserve"> final award.  </w:t>
      </w:r>
      <w:r w:rsidR="00841D7D">
        <w:t>It was a</w:t>
      </w:r>
      <w:r>
        <w:t xml:space="preserve"> difficult yea</w:t>
      </w:r>
      <w:r w:rsidR="006E47A9">
        <w:t xml:space="preserve">r for the team </w:t>
      </w:r>
      <w:r w:rsidR="00841D7D">
        <w:t xml:space="preserve">and </w:t>
      </w:r>
      <w:r w:rsidR="006E47A9">
        <w:t>that continues into 2021/2022</w:t>
      </w:r>
      <w:r>
        <w:t xml:space="preserve"> with uncertain market conditions and </w:t>
      </w:r>
      <w:r w:rsidR="006E47A9">
        <w:t xml:space="preserve">increasing focus on procurement to deliver on the climate change and community wealth building strategies. </w:t>
      </w:r>
    </w:p>
    <w:p w:rsidR="00306118" w:rsidRDefault="00306118" w:rsidP="00FA46BB"/>
    <w:p w:rsidR="00306118" w:rsidRPr="00AA5ED1" w:rsidRDefault="00306118" w:rsidP="00FA46BB">
      <w:r w:rsidRPr="00306118">
        <w:rPr>
          <w:b/>
        </w:rPr>
        <w:t>APPENDIX 2</w:t>
      </w:r>
      <w:r>
        <w:t xml:space="preserve"> is the Sottish Government’s Annual report template for the statistics required by the Act.  A number of the measurements are not currently recorded as they would involve a significant change to our process which is already burdensome and heavily reliant on human intervention.  </w:t>
      </w:r>
    </w:p>
    <w:p w:rsidR="00453975" w:rsidRPr="00453975" w:rsidRDefault="00E04D03" w:rsidP="00FA46BB">
      <w:pPr>
        <w:sectPr w:rsidR="00453975" w:rsidRPr="00453975" w:rsidSect="00962491">
          <w:headerReference w:type="default" r:id="rId17"/>
          <w:footerReference w:type="default" r:id="rId18"/>
          <w:headerReference w:type="first" r:id="rId19"/>
          <w:pgSz w:w="11906" w:h="16838"/>
          <w:pgMar w:top="1440" w:right="1440" w:bottom="1440" w:left="1440" w:header="708" w:footer="708" w:gutter="0"/>
          <w:cols w:space="708"/>
          <w:titlePg/>
          <w:docGrid w:linePitch="360"/>
        </w:sectPr>
      </w:pPr>
      <w:r>
        <w:t xml:space="preserve"> </w:t>
      </w:r>
    </w:p>
    <w:p w:rsidR="00886B3B" w:rsidRPr="00841D7D" w:rsidRDefault="002B445F" w:rsidP="00CC65D9">
      <w:pPr>
        <w:jc w:val="right"/>
        <w:rPr>
          <w:rFonts w:ascii="Arial" w:hAnsi="Arial"/>
          <w:b/>
        </w:rPr>
      </w:pPr>
      <w:r w:rsidRPr="00841D7D">
        <w:rPr>
          <w:rFonts w:ascii="Arial" w:hAnsi="Arial"/>
          <w:b/>
        </w:rPr>
        <w:lastRenderedPageBreak/>
        <w:t>APPENDIX 1</w:t>
      </w:r>
    </w:p>
    <w:tbl>
      <w:tblPr>
        <w:tblStyle w:val="TableGrid8"/>
        <w:tblW w:w="0" w:type="auto"/>
        <w:tblLook w:val="04A0" w:firstRow="1" w:lastRow="0" w:firstColumn="1" w:lastColumn="0" w:noHBand="0" w:noVBand="1"/>
      </w:tblPr>
      <w:tblGrid>
        <w:gridCol w:w="3505"/>
        <w:gridCol w:w="1752"/>
        <w:gridCol w:w="3810"/>
        <w:gridCol w:w="4881"/>
      </w:tblGrid>
      <w:tr w:rsidR="00A32127" w:rsidRPr="00A32127" w:rsidTr="00B122D6">
        <w:trPr>
          <w:trHeight w:val="610"/>
        </w:trPr>
        <w:tc>
          <w:tcPr>
            <w:tcW w:w="13948" w:type="dxa"/>
            <w:gridSpan w:val="4"/>
            <w:shd w:val="clear" w:color="auto" w:fill="DBE5F1" w:themeFill="accent1" w:themeFillTint="33"/>
            <w:vAlign w:val="center"/>
          </w:tcPr>
          <w:p w:rsidR="00A32127" w:rsidRPr="00A32127" w:rsidRDefault="00A32127" w:rsidP="00A32127">
            <w:pPr>
              <w:rPr>
                <w:rFonts w:ascii="Arial" w:hAnsi="Arial"/>
                <w:b/>
              </w:rPr>
            </w:pPr>
            <w:r w:rsidRPr="00A32127">
              <w:rPr>
                <w:rFonts w:ascii="Arial" w:hAnsi="Arial"/>
                <w:b/>
              </w:rPr>
              <w:t>MORAY COUNCIL STRATEGIC PROCUREMENT ACTION PLAN (SPAP) 2020/2021</w:t>
            </w:r>
          </w:p>
        </w:tc>
      </w:tr>
      <w:tr w:rsidR="00A32127" w:rsidRPr="00A32127" w:rsidTr="00B122D6">
        <w:trPr>
          <w:trHeight w:val="570"/>
        </w:trPr>
        <w:tc>
          <w:tcPr>
            <w:tcW w:w="13948" w:type="dxa"/>
            <w:gridSpan w:val="4"/>
            <w:shd w:val="clear" w:color="auto" w:fill="DBE5F1" w:themeFill="accent1" w:themeFillTint="33"/>
            <w:vAlign w:val="center"/>
          </w:tcPr>
          <w:p w:rsidR="00A32127" w:rsidRPr="00A32127" w:rsidRDefault="00A32127" w:rsidP="00A32127">
            <w:pPr>
              <w:rPr>
                <w:b/>
              </w:rPr>
            </w:pPr>
            <w:r w:rsidRPr="00A32127">
              <w:rPr>
                <w:b/>
              </w:rPr>
              <w:t>SECTION 1 -  PCIP Measurements</w:t>
            </w:r>
          </w:p>
        </w:tc>
      </w:tr>
      <w:tr w:rsidR="00A32127" w:rsidRPr="00A32127" w:rsidTr="00B122D6">
        <w:tc>
          <w:tcPr>
            <w:tcW w:w="13948" w:type="dxa"/>
            <w:gridSpan w:val="4"/>
            <w:shd w:val="clear" w:color="auto" w:fill="DBE5F1" w:themeFill="accent1" w:themeFillTint="33"/>
          </w:tcPr>
          <w:p w:rsidR="00A32127" w:rsidRPr="00A32127" w:rsidRDefault="00A32127" w:rsidP="00A32127">
            <w:r w:rsidRPr="00A32127">
              <w:t>Data Warehouse</w:t>
            </w:r>
          </w:p>
        </w:tc>
      </w:tr>
      <w:tr w:rsidR="00A32127" w:rsidRPr="00A32127" w:rsidTr="00A32127">
        <w:tc>
          <w:tcPr>
            <w:tcW w:w="3505" w:type="dxa"/>
          </w:tcPr>
          <w:p w:rsidR="00A32127" w:rsidRPr="00A32127" w:rsidRDefault="00A32127" w:rsidP="00A32127">
            <w:r w:rsidRPr="00A32127">
              <w:t>Action</w:t>
            </w:r>
          </w:p>
        </w:tc>
        <w:tc>
          <w:tcPr>
            <w:tcW w:w="1752" w:type="dxa"/>
          </w:tcPr>
          <w:p w:rsidR="00A32127" w:rsidRPr="00A32127" w:rsidRDefault="00A32127" w:rsidP="00A32127">
            <w:r w:rsidRPr="00A32127">
              <w:t>Timetable</w:t>
            </w:r>
          </w:p>
        </w:tc>
        <w:tc>
          <w:tcPr>
            <w:tcW w:w="3810" w:type="dxa"/>
          </w:tcPr>
          <w:p w:rsidR="00A32127" w:rsidRPr="00A32127" w:rsidRDefault="00A32127" w:rsidP="00A32127">
            <w:r w:rsidRPr="00A32127">
              <w:t>Aim</w:t>
            </w:r>
          </w:p>
        </w:tc>
        <w:tc>
          <w:tcPr>
            <w:tcW w:w="4881" w:type="dxa"/>
          </w:tcPr>
          <w:p w:rsidR="00A32127" w:rsidRPr="00A32127" w:rsidRDefault="00A32127" w:rsidP="00A32127">
            <w:r>
              <w:t>Update</w:t>
            </w:r>
          </w:p>
        </w:tc>
      </w:tr>
      <w:tr w:rsidR="00A32127" w:rsidRPr="00A32127" w:rsidTr="00A32127">
        <w:tc>
          <w:tcPr>
            <w:tcW w:w="3505" w:type="dxa"/>
          </w:tcPr>
          <w:p w:rsidR="00A32127" w:rsidRPr="00A32127" w:rsidRDefault="00902DDC" w:rsidP="00A32127">
            <w:r>
              <w:t xml:space="preserve">1.1 </w:t>
            </w:r>
            <w:r w:rsidR="00A32127" w:rsidRPr="00A32127">
              <w:t>Development of supplier spend data for Category A &amp; B contracts.  To match contract register information with supplier spend to identify variances</w:t>
            </w:r>
          </w:p>
        </w:tc>
        <w:tc>
          <w:tcPr>
            <w:tcW w:w="1752" w:type="dxa"/>
          </w:tcPr>
          <w:p w:rsidR="00A32127" w:rsidRPr="00A32127" w:rsidRDefault="00A32127" w:rsidP="00A32127">
            <w:pPr>
              <w:rPr>
                <w:strike/>
              </w:rPr>
            </w:pPr>
            <w:r w:rsidRPr="00A32127">
              <w:rPr>
                <w:strike/>
              </w:rPr>
              <w:t>December 2019</w:t>
            </w:r>
          </w:p>
          <w:p w:rsidR="00A32127" w:rsidRDefault="00A32127" w:rsidP="00A32127">
            <w:pPr>
              <w:rPr>
                <w:strike/>
              </w:rPr>
            </w:pPr>
            <w:r w:rsidRPr="00841D7D">
              <w:rPr>
                <w:strike/>
              </w:rPr>
              <w:t>December 2020</w:t>
            </w:r>
          </w:p>
          <w:p w:rsidR="006974E5" w:rsidRPr="006974E5" w:rsidRDefault="006974E5" w:rsidP="00A32127">
            <w:pPr>
              <w:rPr>
                <w:rFonts w:ascii="Arial" w:hAnsi="Arial"/>
              </w:rPr>
            </w:pPr>
            <w:r w:rsidRPr="00CC65D9">
              <w:t>April 2022</w:t>
            </w:r>
          </w:p>
        </w:tc>
        <w:tc>
          <w:tcPr>
            <w:tcW w:w="3810" w:type="dxa"/>
          </w:tcPr>
          <w:p w:rsidR="00A32127" w:rsidRPr="00A32127" w:rsidRDefault="00A32127" w:rsidP="00A32127">
            <w:r w:rsidRPr="00A32127">
              <w:t>To ensure that we are maximising the use of the contracts available</w:t>
            </w:r>
          </w:p>
          <w:p w:rsidR="00A32127" w:rsidRPr="00A32127" w:rsidRDefault="00A32127" w:rsidP="00A32127">
            <w:r w:rsidRPr="00A32127">
              <w:t>To sense check the estimated annual value used on the contract register</w:t>
            </w:r>
          </w:p>
          <w:p w:rsidR="00A32127" w:rsidRPr="00A32127" w:rsidRDefault="00A32127" w:rsidP="00A32127">
            <w:pPr>
              <w:rPr>
                <w:rFonts w:ascii="Arial" w:hAnsi="Arial"/>
              </w:rPr>
            </w:pPr>
            <w:r w:rsidRPr="00A32127">
              <w:t>To increase accuracy of date reporting</w:t>
            </w:r>
          </w:p>
        </w:tc>
        <w:tc>
          <w:tcPr>
            <w:tcW w:w="4881" w:type="dxa"/>
          </w:tcPr>
          <w:p w:rsidR="00A32127" w:rsidRPr="00902DDC" w:rsidRDefault="00902DDC" w:rsidP="00A32127">
            <w:pPr>
              <w:rPr>
                <w:i/>
              </w:rPr>
            </w:pPr>
            <w:r w:rsidRPr="00902DDC">
              <w:rPr>
                <w:i/>
              </w:rPr>
              <w:t>The changes to the team structure should allow for this work to be allocated and undertaken during 2021/22</w:t>
            </w:r>
          </w:p>
        </w:tc>
      </w:tr>
      <w:tr w:rsidR="00A32127" w:rsidRPr="00A32127" w:rsidTr="00A32127">
        <w:tc>
          <w:tcPr>
            <w:tcW w:w="3505" w:type="dxa"/>
          </w:tcPr>
          <w:p w:rsidR="00A32127" w:rsidRPr="00A32127" w:rsidRDefault="00A32127" w:rsidP="00A32127">
            <w:r w:rsidRPr="00A32127">
              <w:t>1.2 To develop existing contract register to maximise on required functionality</w:t>
            </w:r>
          </w:p>
        </w:tc>
        <w:tc>
          <w:tcPr>
            <w:tcW w:w="1752" w:type="dxa"/>
          </w:tcPr>
          <w:p w:rsidR="00A32127" w:rsidRPr="00A32127" w:rsidRDefault="00A32127" w:rsidP="00A32127">
            <w:pPr>
              <w:rPr>
                <w:strike/>
              </w:rPr>
            </w:pPr>
            <w:r w:rsidRPr="00A32127">
              <w:rPr>
                <w:strike/>
              </w:rPr>
              <w:t>October 2019</w:t>
            </w:r>
          </w:p>
          <w:p w:rsidR="00A32127" w:rsidRDefault="00A32127" w:rsidP="00A32127">
            <w:pPr>
              <w:rPr>
                <w:strike/>
              </w:rPr>
            </w:pPr>
            <w:r w:rsidRPr="00CC65D9">
              <w:rPr>
                <w:strike/>
              </w:rPr>
              <w:t>April 2021</w:t>
            </w:r>
          </w:p>
          <w:p w:rsidR="006974E5" w:rsidRPr="006974E5" w:rsidRDefault="006974E5" w:rsidP="00A32127">
            <w:r>
              <w:t>April 2022</w:t>
            </w:r>
          </w:p>
        </w:tc>
        <w:tc>
          <w:tcPr>
            <w:tcW w:w="3810" w:type="dxa"/>
          </w:tcPr>
          <w:p w:rsidR="00A32127" w:rsidRPr="00A32127" w:rsidRDefault="00A32127" w:rsidP="00A32127">
            <w:r w:rsidRPr="00A32127">
              <w:t>Functionality requests submitted to ICT to improve access to data and ease of use</w:t>
            </w:r>
          </w:p>
          <w:p w:rsidR="00A32127" w:rsidRPr="00A32127" w:rsidRDefault="00A32127" w:rsidP="00A32127"/>
        </w:tc>
        <w:tc>
          <w:tcPr>
            <w:tcW w:w="4881" w:type="dxa"/>
          </w:tcPr>
          <w:p w:rsidR="00A32127" w:rsidRPr="00902DDC" w:rsidRDefault="00902DDC" w:rsidP="00A32127">
            <w:pPr>
              <w:rPr>
                <w:i/>
              </w:rPr>
            </w:pPr>
            <w:r w:rsidRPr="00902DDC">
              <w:rPr>
                <w:i/>
              </w:rPr>
              <w:t>Given the reprioritisation of ICT work it is not know</w:t>
            </w:r>
            <w:r w:rsidR="00E838CF">
              <w:rPr>
                <w:i/>
              </w:rPr>
              <w:t>n</w:t>
            </w:r>
            <w:r w:rsidRPr="00902DDC">
              <w:rPr>
                <w:i/>
              </w:rPr>
              <w:t xml:space="preserve"> when this will recommence</w:t>
            </w:r>
          </w:p>
        </w:tc>
      </w:tr>
      <w:tr w:rsidR="00A32127" w:rsidRPr="00A32127" w:rsidTr="00A32127">
        <w:tc>
          <w:tcPr>
            <w:tcW w:w="9067" w:type="dxa"/>
            <w:gridSpan w:val="3"/>
            <w:shd w:val="clear" w:color="auto" w:fill="DBE5F1" w:themeFill="accent1" w:themeFillTint="33"/>
          </w:tcPr>
          <w:p w:rsidR="00A32127" w:rsidRPr="00A32127" w:rsidRDefault="00A32127" w:rsidP="00A32127">
            <w:r w:rsidRPr="00A32127">
              <w:t>Leadership &amp; Governance</w:t>
            </w:r>
          </w:p>
        </w:tc>
        <w:tc>
          <w:tcPr>
            <w:tcW w:w="4881" w:type="dxa"/>
            <w:shd w:val="clear" w:color="auto" w:fill="DBE5F1" w:themeFill="accent1" w:themeFillTint="33"/>
          </w:tcPr>
          <w:p w:rsidR="00A32127" w:rsidRPr="00A32127" w:rsidRDefault="00A32127" w:rsidP="00A32127"/>
        </w:tc>
      </w:tr>
      <w:tr w:rsidR="00A32127" w:rsidRPr="00A32127" w:rsidTr="00A32127">
        <w:tc>
          <w:tcPr>
            <w:tcW w:w="3505" w:type="dxa"/>
          </w:tcPr>
          <w:p w:rsidR="00A32127" w:rsidRPr="00A32127" w:rsidRDefault="00902DDC" w:rsidP="00A32127">
            <w:r>
              <w:t>1.3</w:t>
            </w:r>
            <w:r w:rsidR="00A32127" w:rsidRPr="00A32127">
              <w:t xml:space="preserve"> Operational improvement programme:</w:t>
            </w:r>
          </w:p>
          <w:p w:rsidR="00A32127" w:rsidRPr="00A32127" w:rsidRDefault="00A32127" w:rsidP="00A32127">
            <w:pPr>
              <w:numPr>
                <w:ilvl w:val="0"/>
                <w:numId w:val="7"/>
              </w:numPr>
              <w:contextualSpacing/>
            </w:pPr>
            <w:r w:rsidRPr="00A32127">
              <w:t>To carry out qualitative checks on team outputs</w:t>
            </w:r>
          </w:p>
          <w:p w:rsidR="00A32127" w:rsidRPr="00A32127" w:rsidRDefault="00A32127" w:rsidP="00A32127">
            <w:pPr>
              <w:numPr>
                <w:ilvl w:val="0"/>
                <w:numId w:val="7"/>
              </w:numPr>
              <w:contextualSpacing/>
              <w:rPr>
                <w:rFonts w:ascii="Arial" w:hAnsi="Arial"/>
              </w:rPr>
            </w:pPr>
            <w:r w:rsidRPr="00A32127">
              <w:t>Report to Service head on outcomes as part of the quarterly combined procurement DPAP update (pending delivery of point 1.4)</w:t>
            </w:r>
          </w:p>
        </w:tc>
        <w:tc>
          <w:tcPr>
            <w:tcW w:w="1752" w:type="dxa"/>
          </w:tcPr>
          <w:p w:rsidR="00A32127" w:rsidRPr="00A32127" w:rsidRDefault="00A32127" w:rsidP="00A32127">
            <w:r w:rsidRPr="00A32127">
              <w:t>Throughout the year</w:t>
            </w:r>
          </w:p>
          <w:p w:rsidR="00A32127" w:rsidRPr="00A32127" w:rsidRDefault="00A32127" w:rsidP="00A32127"/>
          <w:p w:rsidR="00A32127" w:rsidRPr="00A32127" w:rsidRDefault="00A32127" w:rsidP="00A32127"/>
          <w:p w:rsidR="00A32127" w:rsidRPr="00A32127" w:rsidRDefault="00A32127" w:rsidP="00A32127"/>
          <w:p w:rsidR="00A32127" w:rsidRPr="00A32127" w:rsidRDefault="00A32127" w:rsidP="00A32127">
            <w:pPr>
              <w:rPr>
                <w:rFonts w:ascii="Arial" w:hAnsi="Arial"/>
              </w:rPr>
            </w:pPr>
          </w:p>
        </w:tc>
        <w:tc>
          <w:tcPr>
            <w:tcW w:w="3810" w:type="dxa"/>
          </w:tcPr>
          <w:p w:rsidR="00A32127" w:rsidRPr="00A32127" w:rsidRDefault="00A32127" w:rsidP="00A32127">
            <w:r w:rsidRPr="00A32127">
              <w:t>To focus on the procurement outputs produced by both the team and departments to deliver consistent approach</w:t>
            </w:r>
          </w:p>
          <w:p w:rsidR="00A32127" w:rsidRPr="00A32127" w:rsidRDefault="00A32127" w:rsidP="00A32127">
            <w:pPr>
              <w:rPr>
                <w:rFonts w:ascii="Arial" w:hAnsi="Arial"/>
              </w:rPr>
            </w:pPr>
            <w:r w:rsidRPr="00A32127">
              <w:t>To ensure that actions identified by the review are actioned</w:t>
            </w:r>
          </w:p>
        </w:tc>
        <w:tc>
          <w:tcPr>
            <w:tcW w:w="4881" w:type="dxa"/>
          </w:tcPr>
          <w:p w:rsidR="00A32127" w:rsidRPr="00F02BF7" w:rsidRDefault="00F02BF7" w:rsidP="008F7060">
            <w:pPr>
              <w:rPr>
                <w:i/>
              </w:rPr>
            </w:pPr>
            <w:r w:rsidRPr="00F02BF7">
              <w:rPr>
                <w:i/>
              </w:rPr>
              <w:t>The responsibility for this action lies with the Assistant Manager post which was vacant for much of</w:t>
            </w:r>
            <w:r w:rsidR="008F7060">
              <w:rPr>
                <w:i/>
              </w:rPr>
              <w:t xml:space="preserve"> 20</w:t>
            </w:r>
            <w:r w:rsidRPr="00F02BF7">
              <w:rPr>
                <w:i/>
              </w:rPr>
              <w:t xml:space="preserve">20/21.  With the focus of the team now being catching up on </w:t>
            </w:r>
            <w:r w:rsidR="008F7060">
              <w:rPr>
                <w:i/>
              </w:rPr>
              <w:t>delayed</w:t>
            </w:r>
            <w:r w:rsidRPr="00F02BF7">
              <w:rPr>
                <w:i/>
              </w:rPr>
              <w:t xml:space="preserve"> work it will be some time before we see progress on this action.</w:t>
            </w:r>
          </w:p>
        </w:tc>
      </w:tr>
      <w:tr w:rsidR="00A32127" w:rsidRPr="00A32127" w:rsidTr="00A32127">
        <w:tc>
          <w:tcPr>
            <w:tcW w:w="3505" w:type="dxa"/>
          </w:tcPr>
          <w:p w:rsidR="00A32127" w:rsidRPr="00A32127" w:rsidRDefault="00902DDC" w:rsidP="00A32127">
            <w:r>
              <w:t xml:space="preserve">1.4 </w:t>
            </w:r>
            <w:r w:rsidR="00A32127" w:rsidRPr="00A32127">
              <w:t>Health &amp;Social Care (MIJB) Support</w:t>
            </w:r>
          </w:p>
        </w:tc>
        <w:tc>
          <w:tcPr>
            <w:tcW w:w="1752" w:type="dxa"/>
          </w:tcPr>
          <w:p w:rsidR="00A32127" w:rsidRPr="00A32127" w:rsidRDefault="00A32127" w:rsidP="00A32127">
            <w:r w:rsidRPr="00A32127">
              <w:t>Ongoing</w:t>
            </w:r>
          </w:p>
        </w:tc>
        <w:tc>
          <w:tcPr>
            <w:tcW w:w="3810" w:type="dxa"/>
          </w:tcPr>
          <w:p w:rsidR="00A32127" w:rsidRPr="00A32127" w:rsidRDefault="00A32127" w:rsidP="00A32127">
            <w:r w:rsidRPr="00A32127">
              <w:t>Targeted support to develop infrastructure for MIJB</w:t>
            </w:r>
          </w:p>
          <w:p w:rsidR="00A32127" w:rsidRPr="00A32127" w:rsidRDefault="00A32127" w:rsidP="00A32127">
            <w:r w:rsidRPr="00A32127">
              <w:t>Support the development of responsibility matrix</w:t>
            </w:r>
          </w:p>
          <w:p w:rsidR="00A32127" w:rsidRPr="00A32127" w:rsidRDefault="00A32127" w:rsidP="00A32127">
            <w:r w:rsidRPr="00A32127">
              <w:t>Develop the structure of support requests</w:t>
            </w:r>
          </w:p>
        </w:tc>
        <w:tc>
          <w:tcPr>
            <w:tcW w:w="4881" w:type="dxa"/>
          </w:tcPr>
          <w:p w:rsidR="00AB1980" w:rsidRDefault="00AB1980" w:rsidP="00A32127">
            <w:pPr>
              <w:rPr>
                <w:i/>
              </w:rPr>
            </w:pPr>
            <w:r>
              <w:rPr>
                <w:i/>
              </w:rPr>
              <w:t>The Payments Manager is supporting this department by processing their supplier relief claims and participating in the remobilisation group</w:t>
            </w:r>
            <w:r w:rsidRPr="00AB1980">
              <w:rPr>
                <w:i/>
              </w:rPr>
              <w:t>.</w:t>
            </w:r>
          </w:p>
          <w:p w:rsidR="00A32127" w:rsidRPr="00AB1980" w:rsidRDefault="00AB1980" w:rsidP="00A32127">
            <w:pPr>
              <w:rPr>
                <w:i/>
              </w:rPr>
            </w:pPr>
            <w:r>
              <w:rPr>
                <w:i/>
              </w:rPr>
              <w:t>No progress has been made around the definition of responsibilities or process of support.</w:t>
            </w:r>
          </w:p>
        </w:tc>
      </w:tr>
      <w:tr w:rsidR="00A32127" w:rsidRPr="00A32127" w:rsidTr="00A32127">
        <w:tc>
          <w:tcPr>
            <w:tcW w:w="3505" w:type="dxa"/>
          </w:tcPr>
          <w:p w:rsidR="00A32127" w:rsidRPr="00A32127" w:rsidRDefault="00902DDC" w:rsidP="00A32127">
            <w:r>
              <w:t>1.5</w:t>
            </w:r>
            <w:r w:rsidR="00A32127" w:rsidRPr="00A32127">
              <w:t xml:space="preserve"> Supplier Development Programme (SDP)</w:t>
            </w:r>
          </w:p>
        </w:tc>
        <w:tc>
          <w:tcPr>
            <w:tcW w:w="1752" w:type="dxa"/>
          </w:tcPr>
          <w:p w:rsidR="00A32127" w:rsidRPr="00A32127" w:rsidRDefault="00A32127" w:rsidP="00A32127">
            <w:pPr>
              <w:rPr>
                <w:strike/>
              </w:rPr>
            </w:pPr>
            <w:r w:rsidRPr="00A32127">
              <w:rPr>
                <w:strike/>
              </w:rPr>
              <w:t>April 2019</w:t>
            </w:r>
          </w:p>
          <w:p w:rsidR="00A32127" w:rsidRPr="00A32127" w:rsidRDefault="00A32127" w:rsidP="00A32127">
            <w:r w:rsidRPr="00A32127">
              <w:t>April 2021</w:t>
            </w:r>
          </w:p>
          <w:p w:rsidR="00A32127" w:rsidRPr="00A32127" w:rsidRDefault="00A32127" w:rsidP="00A32127"/>
          <w:p w:rsidR="00A32127" w:rsidRPr="00A32127" w:rsidRDefault="00A32127" w:rsidP="00A32127"/>
          <w:p w:rsidR="00A32127" w:rsidRPr="00A32127" w:rsidRDefault="00A32127" w:rsidP="00A32127">
            <w:r w:rsidRPr="00A32127">
              <w:t>Throughout the year</w:t>
            </w:r>
          </w:p>
        </w:tc>
        <w:tc>
          <w:tcPr>
            <w:tcW w:w="3810" w:type="dxa"/>
          </w:tcPr>
          <w:p w:rsidR="00A32127" w:rsidRPr="00A32127" w:rsidRDefault="00A32127" w:rsidP="00A32127">
            <w:r w:rsidRPr="00A32127">
              <w:t>To continue to support Economic Development with the membership of SDP through the Moray Supplier Development Forum</w:t>
            </w:r>
          </w:p>
          <w:p w:rsidR="00A32127" w:rsidRPr="00A32127" w:rsidRDefault="00A32127" w:rsidP="00A32127">
            <w:r w:rsidRPr="00A32127">
              <w:t>To support local event/s</w:t>
            </w:r>
          </w:p>
          <w:p w:rsidR="00A32127" w:rsidRPr="00A32127" w:rsidRDefault="00A32127" w:rsidP="00A32127">
            <w:r w:rsidRPr="00A32127">
              <w:t>To maximise procurement training for Moray suppliers</w:t>
            </w:r>
          </w:p>
        </w:tc>
        <w:tc>
          <w:tcPr>
            <w:tcW w:w="4881" w:type="dxa"/>
          </w:tcPr>
          <w:p w:rsidR="00A32127" w:rsidRPr="00AB1980" w:rsidRDefault="00AB1980" w:rsidP="00A32127">
            <w:pPr>
              <w:rPr>
                <w:i/>
              </w:rPr>
            </w:pPr>
            <w:r w:rsidRPr="00AB1980">
              <w:rPr>
                <w:i/>
              </w:rPr>
              <w:t>The Payments Manager has maintained the Councils link with SDP throughout the pandemic via her Board membership and the team have supported the two virtual meet the buyer events they have held during that time.</w:t>
            </w:r>
          </w:p>
        </w:tc>
      </w:tr>
      <w:tr w:rsidR="00A32127" w:rsidRPr="00A32127" w:rsidTr="00A32127">
        <w:tc>
          <w:tcPr>
            <w:tcW w:w="9067" w:type="dxa"/>
            <w:gridSpan w:val="3"/>
            <w:shd w:val="clear" w:color="auto" w:fill="DBE5F1" w:themeFill="accent1" w:themeFillTint="33"/>
          </w:tcPr>
          <w:p w:rsidR="00A32127" w:rsidRPr="00A32127" w:rsidRDefault="00A32127" w:rsidP="00A32127">
            <w:r w:rsidRPr="00A32127">
              <w:t>Development &amp; Tender</w:t>
            </w:r>
          </w:p>
        </w:tc>
        <w:tc>
          <w:tcPr>
            <w:tcW w:w="4881" w:type="dxa"/>
            <w:shd w:val="clear" w:color="auto" w:fill="DBE5F1" w:themeFill="accent1" w:themeFillTint="33"/>
          </w:tcPr>
          <w:p w:rsidR="00A32127" w:rsidRPr="00A32127" w:rsidRDefault="00A32127" w:rsidP="00A32127"/>
        </w:tc>
      </w:tr>
      <w:tr w:rsidR="00A32127" w:rsidRPr="00A32127" w:rsidTr="00A32127">
        <w:tc>
          <w:tcPr>
            <w:tcW w:w="3505" w:type="dxa"/>
          </w:tcPr>
          <w:p w:rsidR="00A32127" w:rsidRPr="00A32127" w:rsidRDefault="00902DDC" w:rsidP="00A32127">
            <w:r>
              <w:t>1.6</w:t>
            </w:r>
            <w:r w:rsidR="00A32127" w:rsidRPr="00A32127">
              <w:t xml:space="preserve"> Review workload allocation process</w:t>
            </w:r>
          </w:p>
        </w:tc>
        <w:tc>
          <w:tcPr>
            <w:tcW w:w="1752" w:type="dxa"/>
          </w:tcPr>
          <w:p w:rsidR="00A32127" w:rsidRPr="00A32127" w:rsidRDefault="00A32127" w:rsidP="00A32127"/>
        </w:tc>
        <w:tc>
          <w:tcPr>
            <w:tcW w:w="3810" w:type="dxa"/>
          </w:tcPr>
          <w:p w:rsidR="00A32127" w:rsidRPr="00A32127" w:rsidRDefault="00A32127" w:rsidP="00A32127"/>
        </w:tc>
        <w:tc>
          <w:tcPr>
            <w:tcW w:w="4881" w:type="dxa"/>
          </w:tcPr>
          <w:p w:rsidR="00AB1980" w:rsidRDefault="00AB1980" w:rsidP="00A32127">
            <w:pPr>
              <w:rPr>
                <w:i/>
              </w:rPr>
            </w:pPr>
            <w:r>
              <w:rPr>
                <w:i/>
              </w:rPr>
              <w:t>COMPLETE</w:t>
            </w:r>
          </w:p>
          <w:p w:rsidR="00A32127" w:rsidRPr="00AB1980" w:rsidRDefault="00AB1980" w:rsidP="00A32127">
            <w:pPr>
              <w:rPr>
                <w:i/>
              </w:rPr>
            </w:pPr>
            <w:r w:rsidRPr="00AB1980">
              <w:rPr>
                <w:i/>
              </w:rPr>
              <w:t>The review has taken place and changes made to the weighting and allocation of projects.  Making best use of the resources available has needed a more formal approach to workload management.</w:t>
            </w:r>
          </w:p>
        </w:tc>
      </w:tr>
      <w:tr w:rsidR="00A32127" w:rsidRPr="00A32127" w:rsidTr="00A32127">
        <w:tc>
          <w:tcPr>
            <w:tcW w:w="3505" w:type="dxa"/>
          </w:tcPr>
          <w:p w:rsidR="00A32127" w:rsidRPr="00A32127" w:rsidRDefault="00902DDC" w:rsidP="00A32127">
            <w:r>
              <w:t>1.7</w:t>
            </w:r>
            <w:r w:rsidR="00A32127" w:rsidRPr="00A32127">
              <w:t xml:space="preserve"> Review sustainability questions to include new focus on Climate Change</w:t>
            </w:r>
          </w:p>
        </w:tc>
        <w:tc>
          <w:tcPr>
            <w:tcW w:w="1752" w:type="dxa"/>
          </w:tcPr>
          <w:p w:rsidR="00A32127" w:rsidRPr="00A32127" w:rsidRDefault="00A32127" w:rsidP="00A32127"/>
        </w:tc>
        <w:tc>
          <w:tcPr>
            <w:tcW w:w="3810" w:type="dxa"/>
          </w:tcPr>
          <w:p w:rsidR="00A32127" w:rsidRPr="00A32127" w:rsidRDefault="00A32127" w:rsidP="00A32127"/>
        </w:tc>
        <w:tc>
          <w:tcPr>
            <w:tcW w:w="4881" w:type="dxa"/>
          </w:tcPr>
          <w:p w:rsidR="00A32127" w:rsidRPr="00AB1980" w:rsidRDefault="00AB1980" w:rsidP="00A32127">
            <w:pPr>
              <w:rPr>
                <w:i/>
              </w:rPr>
            </w:pPr>
            <w:r w:rsidRPr="00AB1980">
              <w:rPr>
                <w:i/>
              </w:rPr>
              <w:t>COMPLETE</w:t>
            </w:r>
          </w:p>
          <w:p w:rsidR="00AB1980" w:rsidRPr="00AB1980" w:rsidRDefault="00AB1980" w:rsidP="00A32127">
            <w:pPr>
              <w:rPr>
                <w:i/>
              </w:rPr>
            </w:pPr>
            <w:r w:rsidRPr="00AB1980">
              <w:rPr>
                <w:i/>
              </w:rPr>
              <w:t xml:space="preserve">The team have a new suite of standard questions available to them </w:t>
            </w:r>
          </w:p>
        </w:tc>
      </w:tr>
      <w:tr w:rsidR="00A32127" w:rsidRPr="00A32127" w:rsidTr="00A32127">
        <w:tc>
          <w:tcPr>
            <w:tcW w:w="3505" w:type="dxa"/>
          </w:tcPr>
          <w:p w:rsidR="00A32127" w:rsidRPr="00A32127" w:rsidRDefault="00902DDC" w:rsidP="00A32127">
            <w:r>
              <w:t>1.8</w:t>
            </w:r>
            <w:r w:rsidR="00A32127" w:rsidRPr="00A32127">
              <w:t xml:space="preserve"> Review Fair work questions </w:t>
            </w:r>
          </w:p>
        </w:tc>
        <w:tc>
          <w:tcPr>
            <w:tcW w:w="1752" w:type="dxa"/>
          </w:tcPr>
          <w:p w:rsidR="00A32127" w:rsidRPr="00A32127" w:rsidRDefault="00A32127" w:rsidP="00A32127"/>
        </w:tc>
        <w:tc>
          <w:tcPr>
            <w:tcW w:w="3810" w:type="dxa"/>
          </w:tcPr>
          <w:p w:rsidR="00A32127" w:rsidRPr="00A32127" w:rsidRDefault="00A32127" w:rsidP="00A32127"/>
        </w:tc>
        <w:tc>
          <w:tcPr>
            <w:tcW w:w="4881" w:type="dxa"/>
          </w:tcPr>
          <w:p w:rsidR="00A32127" w:rsidRPr="00AB1980" w:rsidRDefault="00AB1980" w:rsidP="00A32127">
            <w:pPr>
              <w:rPr>
                <w:i/>
              </w:rPr>
            </w:pPr>
            <w:r w:rsidRPr="00AB1980">
              <w:rPr>
                <w:i/>
              </w:rPr>
              <w:t>COMPLETE</w:t>
            </w:r>
          </w:p>
          <w:p w:rsidR="00AB1980" w:rsidRPr="00AB1980" w:rsidRDefault="00AB1980" w:rsidP="00A32127">
            <w:pPr>
              <w:rPr>
                <w:i/>
              </w:rPr>
            </w:pPr>
            <w:r w:rsidRPr="00AB1980">
              <w:rPr>
                <w:i/>
              </w:rPr>
              <w:t>As above</w:t>
            </w:r>
          </w:p>
        </w:tc>
      </w:tr>
      <w:tr w:rsidR="00A32127" w:rsidRPr="00A32127" w:rsidTr="00A32127">
        <w:tc>
          <w:tcPr>
            <w:tcW w:w="9067" w:type="dxa"/>
            <w:gridSpan w:val="3"/>
            <w:shd w:val="clear" w:color="auto" w:fill="DBE5F1" w:themeFill="accent1" w:themeFillTint="33"/>
          </w:tcPr>
          <w:p w:rsidR="00A32127" w:rsidRPr="00A32127" w:rsidRDefault="00A32127" w:rsidP="00A32127">
            <w:r w:rsidRPr="00A32127">
              <w:t>Contract</w:t>
            </w:r>
          </w:p>
        </w:tc>
        <w:tc>
          <w:tcPr>
            <w:tcW w:w="4881" w:type="dxa"/>
            <w:shd w:val="clear" w:color="auto" w:fill="DBE5F1" w:themeFill="accent1" w:themeFillTint="33"/>
          </w:tcPr>
          <w:p w:rsidR="00A32127" w:rsidRPr="00A32127" w:rsidRDefault="00A32127" w:rsidP="00A32127"/>
        </w:tc>
      </w:tr>
      <w:tr w:rsidR="00A32127" w:rsidRPr="00A32127" w:rsidTr="00A32127">
        <w:tc>
          <w:tcPr>
            <w:tcW w:w="3505" w:type="dxa"/>
          </w:tcPr>
          <w:p w:rsidR="00A32127" w:rsidRPr="00A32127" w:rsidRDefault="00A32127" w:rsidP="00A32127">
            <w:r w:rsidRPr="00A32127">
              <w:t>1.</w:t>
            </w:r>
            <w:r w:rsidR="00902DDC">
              <w:t>9</w:t>
            </w:r>
            <w:r w:rsidRPr="00A32127">
              <w:t xml:space="preserve"> Post award implementation improvements:</w:t>
            </w:r>
          </w:p>
          <w:p w:rsidR="00A32127" w:rsidRPr="00A32127" w:rsidRDefault="00A32127" w:rsidP="00A32127">
            <w:r w:rsidRPr="00A32127">
              <w:lastRenderedPageBreak/>
              <w:t>Checklist/structure/pack for meeting</w:t>
            </w:r>
          </w:p>
        </w:tc>
        <w:tc>
          <w:tcPr>
            <w:tcW w:w="1752" w:type="dxa"/>
          </w:tcPr>
          <w:p w:rsidR="00A32127" w:rsidRPr="00A32127" w:rsidRDefault="00A32127" w:rsidP="00A32127">
            <w:r w:rsidRPr="00A32127">
              <w:lastRenderedPageBreak/>
              <w:t>Throughout the year</w:t>
            </w:r>
          </w:p>
          <w:p w:rsidR="00A32127" w:rsidRPr="00A32127" w:rsidRDefault="00A32127" w:rsidP="00A32127"/>
        </w:tc>
        <w:tc>
          <w:tcPr>
            <w:tcW w:w="3810" w:type="dxa"/>
          </w:tcPr>
          <w:p w:rsidR="00A32127" w:rsidRPr="00A32127" w:rsidRDefault="00A32127" w:rsidP="00A32127">
            <w:r w:rsidRPr="00A32127">
              <w:t xml:space="preserve">To ensure that contract awards are subject to a full implementation plan with all stakeholders involvement as </w:t>
            </w:r>
            <w:r w:rsidRPr="00A32127">
              <w:lastRenderedPageBreak/>
              <w:t>part of the operational improvement programme</w:t>
            </w:r>
          </w:p>
        </w:tc>
        <w:tc>
          <w:tcPr>
            <w:tcW w:w="4881" w:type="dxa"/>
          </w:tcPr>
          <w:p w:rsidR="00A32127" w:rsidRPr="00A32127" w:rsidRDefault="00AB1980" w:rsidP="00A32127">
            <w:r w:rsidRPr="00AB1980">
              <w:rPr>
                <w:i/>
              </w:rPr>
              <w:lastRenderedPageBreak/>
              <w:t>Work has been done and continues to be done around the process and also the feedback from stakeholders</w:t>
            </w:r>
            <w:r>
              <w:t>.</w:t>
            </w:r>
          </w:p>
        </w:tc>
      </w:tr>
      <w:tr w:rsidR="00A32127" w:rsidRPr="00A32127" w:rsidTr="00A32127">
        <w:tc>
          <w:tcPr>
            <w:tcW w:w="9067" w:type="dxa"/>
            <w:gridSpan w:val="3"/>
            <w:shd w:val="clear" w:color="auto" w:fill="DBE5F1" w:themeFill="accent1" w:themeFillTint="33"/>
          </w:tcPr>
          <w:p w:rsidR="00A32127" w:rsidRPr="00A32127" w:rsidRDefault="00A32127" w:rsidP="00A32127">
            <w:pPr>
              <w:rPr>
                <w:rFonts w:ascii="Arial" w:hAnsi="Arial"/>
              </w:rPr>
            </w:pPr>
            <w:r w:rsidRPr="00A32127">
              <w:t>Key Purchasing Processes</w:t>
            </w:r>
          </w:p>
        </w:tc>
        <w:tc>
          <w:tcPr>
            <w:tcW w:w="4881" w:type="dxa"/>
            <w:shd w:val="clear" w:color="auto" w:fill="DBE5F1" w:themeFill="accent1" w:themeFillTint="33"/>
          </w:tcPr>
          <w:p w:rsidR="00A32127" w:rsidRPr="00A32127" w:rsidRDefault="00A32127" w:rsidP="00A32127"/>
        </w:tc>
      </w:tr>
      <w:tr w:rsidR="00A32127" w:rsidRPr="00A32127" w:rsidTr="00A32127">
        <w:tc>
          <w:tcPr>
            <w:tcW w:w="3505" w:type="dxa"/>
          </w:tcPr>
          <w:p w:rsidR="00A32127" w:rsidRPr="00A32127" w:rsidRDefault="00902DDC" w:rsidP="00A32127">
            <w:r>
              <w:t xml:space="preserve">1.10 </w:t>
            </w:r>
            <w:r w:rsidR="00A32127" w:rsidRPr="00A32127">
              <w:t xml:space="preserve"> Develop Payment processing e-form</w:t>
            </w:r>
          </w:p>
        </w:tc>
        <w:tc>
          <w:tcPr>
            <w:tcW w:w="1752" w:type="dxa"/>
          </w:tcPr>
          <w:p w:rsidR="00A32127" w:rsidRPr="00A32127" w:rsidRDefault="00A32127" w:rsidP="00A32127"/>
        </w:tc>
        <w:tc>
          <w:tcPr>
            <w:tcW w:w="3810" w:type="dxa"/>
          </w:tcPr>
          <w:p w:rsidR="00A32127" w:rsidRPr="00A32127" w:rsidRDefault="00A32127" w:rsidP="00A32127"/>
        </w:tc>
        <w:tc>
          <w:tcPr>
            <w:tcW w:w="4881" w:type="dxa"/>
          </w:tcPr>
          <w:p w:rsidR="00A32127" w:rsidRPr="00AB1980" w:rsidRDefault="00AB1980" w:rsidP="00A32127">
            <w:pPr>
              <w:rPr>
                <w:b/>
              </w:rPr>
            </w:pPr>
            <w:r w:rsidRPr="00AB1980">
              <w:rPr>
                <w:b/>
              </w:rPr>
              <w:t>With ICT</w:t>
            </w:r>
          </w:p>
        </w:tc>
      </w:tr>
    </w:tbl>
    <w:p w:rsidR="00886B3B" w:rsidRPr="00886B3B" w:rsidRDefault="00886B3B" w:rsidP="00886B3B">
      <w:pPr>
        <w:rPr>
          <w:rFonts w:ascii="Arial" w:hAnsi="Arial"/>
        </w:rPr>
      </w:pPr>
    </w:p>
    <w:p w:rsidR="00D06D70" w:rsidRDefault="00D06D70">
      <w:pPr>
        <w:rPr>
          <w:i/>
        </w:rPr>
      </w:pPr>
    </w:p>
    <w:p w:rsidR="00CC65D9" w:rsidRDefault="00CC65D9">
      <w:pPr>
        <w:rPr>
          <w:i/>
        </w:rPr>
      </w:pPr>
    </w:p>
    <w:p w:rsidR="00CC65D9" w:rsidRDefault="00CC65D9">
      <w:pPr>
        <w:rPr>
          <w:i/>
        </w:rPr>
      </w:pPr>
    </w:p>
    <w:p w:rsidR="00CC65D9" w:rsidRDefault="00CC65D9">
      <w:pPr>
        <w:rPr>
          <w:i/>
        </w:rPr>
      </w:pPr>
    </w:p>
    <w:p w:rsidR="00CC65D9" w:rsidRDefault="00CC65D9">
      <w:pPr>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6"/>
        <w:gridCol w:w="1372"/>
        <w:gridCol w:w="1398"/>
        <w:gridCol w:w="5052"/>
      </w:tblGrid>
      <w:tr w:rsidR="00886B3B" w:rsidRPr="00886B3B" w:rsidTr="00886B3B">
        <w:trPr>
          <w:trHeight w:val="538"/>
        </w:trPr>
        <w:tc>
          <w:tcPr>
            <w:tcW w:w="5000" w:type="pct"/>
            <w:gridSpan w:val="4"/>
            <w:shd w:val="clear" w:color="auto" w:fill="DBE5F1" w:themeFill="accent1" w:themeFillTint="33"/>
            <w:vAlign w:val="center"/>
          </w:tcPr>
          <w:p w:rsidR="00886B3B" w:rsidRPr="00886B3B" w:rsidRDefault="00886B3B" w:rsidP="00886B3B">
            <w:pPr>
              <w:spacing w:line="240" w:lineRule="auto"/>
              <w:rPr>
                <w:rFonts w:asciiTheme="minorHAnsi" w:hAnsiTheme="minorHAnsi"/>
                <w:b/>
                <w:bCs/>
                <w:color w:val="000000"/>
              </w:rPr>
            </w:pPr>
            <w:r w:rsidRPr="00886B3B">
              <w:rPr>
                <w:rFonts w:asciiTheme="minorHAnsi" w:hAnsiTheme="minorHAnsi"/>
                <w:b/>
                <w:bCs/>
                <w:color w:val="000000"/>
              </w:rPr>
              <w:t xml:space="preserve">SECTION 2 – Procurement Strategy Measurements.  </w:t>
            </w:r>
          </w:p>
          <w:p w:rsidR="00886B3B" w:rsidRPr="00886B3B" w:rsidRDefault="00BD5427" w:rsidP="00886B3B">
            <w:pPr>
              <w:spacing w:line="240" w:lineRule="auto"/>
              <w:rPr>
                <w:rFonts w:asciiTheme="minorHAnsi" w:eastAsia="Times New Roman" w:hAnsiTheme="minorHAnsi"/>
                <w:b/>
                <w:bCs/>
                <w:sz w:val="20"/>
                <w:szCs w:val="20"/>
                <w:lang w:eastAsia="en-GB"/>
              </w:rPr>
            </w:pPr>
            <w:r>
              <w:rPr>
                <w:rFonts w:asciiTheme="minorHAnsi" w:hAnsiTheme="minorHAnsi"/>
                <w:b/>
                <w:bCs/>
                <w:color w:val="000000"/>
              </w:rPr>
              <w:t>2020/2021</w:t>
            </w:r>
          </w:p>
        </w:tc>
      </w:tr>
      <w:tr w:rsidR="00886B3B" w:rsidRPr="00886B3B" w:rsidTr="00886B3B">
        <w:trPr>
          <w:trHeight w:val="538"/>
        </w:trPr>
        <w:tc>
          <w:tcPr>
            <w:tcW w:w="2196" w:type="pct"/>
            <w:shd w:val="clear" w:color="auto" w:fill="DBE5F1" w:themeFill="accent1" w:themeFillTint="33"/>
            <w:vAlign w:val="center"/>
          </w:tcPr>
          <w:p w:rsidR="00886B3B" w:rsidRPr="00886B3B" w:rsidRDefault="00886B3B" w:rsidP="00886B3B">
            <w:pPr>
              <w:numPr>
                <w:ilvl w:val="0"/>
                <w:numId w:val="1"/>
              </w:numPr>
              <w:autoSpaceDE w:val="0"/>
              <w:autoSpaceDN w:val="0"/>
              <w:adjustRightInd w:val="0"/>
              <w:spacing w:after="200" w:line="240" w:lineRule="auto"/>
              <w:ind w:left="567" w:hanging="567"/>
              <w:contextualSpacing/>
              <w:rPr>
                <w:rFonts w:asciiTheme="minorHAnsi" w:hAnsiTheme="minorHAnsi"/>
                <w:color w:val="000000"/>
              </w:rPr>
            </w:pPr>
            <w:r w:rsidRPr="00886B3B">
              <w:rPr>
                <w:rFonts w:asciiTheme="minorHAnsi" w:hAnsiTheme="minorHAnsi"/>
                <w:b/>
                <w:bCs/>
                <w:color w:val="000000"/>
              </w:rPr>
              <w:t>Savings</w:t>
            </w:r>
          </w:p>
          <w:p w:rsidR="00886B3B" w:rsidRPr="00886B3B" w:rsidRDefault="00886B3B" w:rsidP="00886B3B">
            <w:pPr>
              <w:spacing w:line="240" w:lineRule="auto"/>
              <w:rPr>
                <w:rFonts w:asciiTheme="minorHAnsi" w:eastAsia="Times New Roman" w:hAnsiTheme="minorHAnsi"/>
                <w:b/>
                <w:bCs/>
                <w:sz w:val="20"/>
                <w:szCs w:val="20"/>
                <w:lang w:eastAsia="en-GB"/>
              </w:rPr>
            </w:pPr>
          </w:p>
        </w:tc>
        <w:tc>
          <w:tcPr>
            <w:tcW w:w="492" w:type="pct"/>
            <w:shd w:val="clear" w:color="auto" w:fill="DBE5F1" w:themeFill="accent1" w:themeFillTint="33"/>
            <w:noWrap/>
            <w:vAlign w:val="center"/>
          </w:tcPr>
          <w:p w:rsidR="00886B3B" w:rsidRPr="00886B3B" w:rsidRDefault="00886B3B" w:rsidP="00886B3B">
            <w:pPr>
              <w:spacing w:line="240" w:lineRule="auto"/>
              <w:rPr>
                <w:rFonts w:asciiTheme="minorHAnsi" w:eastAsia="Times New Roman" w:hAnsiTheme="minorHAnsi"/>
                <w:b/>
                <w:bCs/>
                <w:sz w:val="20"/>
                <w:szCs w:val="20"/>
                <w:lang w:eastAsia="en-GB"/>
              </w:rPr>
            </w:pPr>
          </w:p>
        </w:tc>
        <w:tc>
          <w:tcPr>
            <w:tcW w:w="501" w:type="pct"/>
            <w:shd w:val="clear" w:color="auto" w:fill="DBE5F1" w:themeFill="accent1" w:themeFillTint="33"/>
          </w:tcPr>
          <w:p w:rsidR="00886B3B" w:rsidRPr="00886B3B" w:rsidRDefault="00886B3B" w:rsidP="00886B3B">
            <w:pPr>
              <w:spacing w:line="240" w:lineRule="auto"/>
              <w:rPr>
                <w:rFonts w:asciiTheme="minorHAnsi" w:eastAsia="Times New Roman" w:hAnsiTheme="minorHAnsi"/>
                <w:b/>
                <w:bCs/>
                <w:sz w:val="20"/>
                <w:szCs w:val="20"/>
                <w:lang w:eastAsia="en-GB"/>
              </w:rPr>
            </w:pPr>
          </w:p>
        </w:tc>
        <w:tc>
          <w:tcPr>
            <w:tcW w:w="1811" w:type="pct"/>
            <w:shd w:val="clear" w:color="auto" w:fill="DBE5F1" w:themeFill="accent1" w:themeFillTint="33"/>
            <w:noWrap/>
            <w:vAlign w:val="center"/>
          </w:tcPr>
          <w:p w:rsidR="00886B3B" w:rsidRPr="00886B3B" w:rsidRDefault="00886B3B" w:rsidP="00886B3B">
            <w:pPr>
              <w:spacing w:line="240" w:lineRule="auto"/>
              <w:rPr>
                <w:rFonts w:asciiTheme="minorHAnsi" w:eastAsia="Times New Roman" w:hAnsiTheme="minorHAnsi"/>
                <w:b/>
                <w:bCs/>
                <w:sz w:val="20"/>
                <w:szCs w:val="20"/>
                <w:lang w:eastAsia="en-GB"/>
              </w:rPr>
            </w:pPr>
          </w:p>
        </w:tc>
      </w:tr>
      <w:tr w:rsidR="00886B3B" w:rsidRPr="00886B3B" w:rsidTr="00886B3B">
        <w:trPr>
          <w:trHeight w:val="538"/>
        </w:trPr>
        <w:tc>
          <w:tcPr>
            <w:tcW w:w="2196" w:type="pct"/>
            <w:shd w:val="clear" w:color="auto" w:fill="DBE5F1" w:themeFill="accent1" w:themeFillTint="33"/>
            <w:vAlign w:val="center"/>
            <w:hideMark/>
          </w:tcPr>
          <w:p w:rsidR="00886B3B" w:rsidRPr="00886B3B" w:rsidRDefault="00886B3B" w:rsidP="00886B3B">
            <w:pPr>
              <w:spacing w:line="240" w:lineRule="auto"/>
              <w:jc w:val="center"/>
              <w:rPr>
                <w:rFonts w:ascii="Arial" w:eastAsia="Times New Roman" w:hAnsi="Arial"/>
                <w:b/>
                <w:bCs/>
                <w:sz w:val="20"/>
                <w:szCs w:val="20"/>
                <w:lang w:eastAsia="en-GB"/>
              </w:rPr>
            </w:pPr>
            <w:r w:rsidRPr="00886B3B">
              <w:rPr>
                <w:rFonts w:ascii="Arial" w:eastAsia="Times New Roman" w:hAnsi="Arial"/>
                <w:b/>
                <w:bCs/>
                <w:sz w:val="20"/>
                <w:szCs w:val="20"/>
                <w:lang w:eastAsia="en-GB"/>
              </w:rPr>
              <w:t>The measure</w:t>
            </w:r>
          </w:p>
        </w:tc>
        <w:tc>
          <w:tcPr>
            <w:tcW w:w="492" w:type="pct"/>
            <w:shd w:val="clear" w:color="auto" w:fill="DBE5F1" w:themeFill="accent1" w:themeFillTint="33"/>
            <w:noWrap/>
            <w:vAlign w:val="bottom"/>
            <w:hideMark/>
          </w:tcPr>
          <w:p w:rsidR="00886B3B" w:rsidRPr="00886B3B" w:rsidRDefault="00886B3B" w:rsidP="00886B3B">
            <w:pPr>
              <w:spacing w:line="240" w:lineRule="auto"/>
              <w:jc w:val="center"/>
              <w:rPr>
                <w:rFonts w:ascii="Arial" w:eastAsia="Times New Roman" w:hAnsi="Arial"/>
                <w:b/>
                <w:bCs/>
                <w:sz w:val="20"/>
                <w:szCs w:val="20"/>
                <w:lang w:eastAsia="en-GB"/>
              </w:rPr>
            </w:pPr>
            <w:r w:rsidRPr="00886B3B">
              <w:rPr>
                <w:rFonts w:ascii="Arial" w:eastAsia="Times New Roman" w:hAnsi="Arial"/>
                <w:b/>
                <w:bCs/>
                <w:sz w:val="20"/>
                <w:szCs w:val="20"/>
                <w:lang w:eastAsia="en-GB"/>
              </w:rPr>
              <w:t>Target</w:t>
            </w:r>
          </w:p>
        </w:tc>
        <w:tc>
          <w:tcPr>
            <w:tcW w:w="501" w:type="pct"/>
            <w:shd w:val="clear" w:color="auto" w:fill="DBE5F1" w:themeFill="accent1" w:themeFillTint="33"/>
          </w:tcPr>
          <w:p w:rsidR="00886B3B" w:rsidRPr="00FC0889" w:rsidRDefault="00FC0889" w:rsidP="00886B3B">
            <w:pPr>
              <w:spacing w:line="240" w:lineRule="auto"/>
              <w:jc w:val="center"/>
              <w:rPr>
                <w:rFonts w:ascii="Arial" w:eastAsia="Times New Roman" w:hAnsi="Arial"/>
                <w:b/>
                <w:bCs/>
                <w:sz w:val="20"/>
                <w:szCs w:val="20"/>
                <w:lang w:eastAsia="en-GB"/>
              </w:rPr>
            </w:pPr>
            <w:r>
              <w:rPr>
                <w:rFonts w:ascii="Arial" w:eastAsia="Times New Roman" w:hAnsi="Arial"/>
                <w:b/>
                <w:bCs/>
                <w:sz w:val="20"/>
                <w:szCs w:val="20"/>
                <w:lang w:eastAsia="en-GB"/>
              </w:rPr>
              <w:t>20</w:t>
            </w:r>
            <w:r w:rsidR="00C47C6A" w:rsidRPr="00FC0889">
              <w:rPr>
                <w:rFonts w:ascii="Arial" w:eastAsia="Times New Roman" w:hAnsi="Arial"/>
                <w:b/>
                <w:bCs/>
                <w:sz w:val="20"/>
                <w:szCs w:val="20"/>
                <w:lang w:eastAsia="en-GB"/>
              </w:rPr>
              <w:t>20/21</w:t>
            </w:r>
          </w:p>
          <w:p w:rsidR="00886B3B" w:rsidRPr="00FC0889" w:rsidRDefault="00C47C6A" w:rsidP="00886B3B">
            <w:pPr>
              <w:spacing w:line="240" w:lineRule="auto"/>
              <w:jc w:val="center"/>
              <w:rPr>
                <w:rFonts w:ascii="Arial" w:eastAsia="Times New Roman" w:hAnsi="Arial"/>
                <w:b/>
                <w:bCs/>
                <w:sz w:val="20"/>
                <w:szCs w:val="20"/>
                <w:lang w:eastAsia="en-GB"/>
              </w:rPr>
            </w:pPr>
            <w:r w:rsidRPr="00FC0889">
              <w:rPr>
                <w:rFonts w:ascii="Arial" w:eastAsia="Times New Roman" w:hAnsi="Arial"/>
                <w:b/>
                <w:bCs/>
                <w:sz w:val="20"/>
                <w:szCs w:val="20"/>
                <w:lang w:eastAsia="en-GB"/>
              </w:rPr>
              <w:t>(2019/20</w:t>
            </w:r>
            <w:r w:rsidR="00886B3B" w:rsidRPr="00FC0889">
              <w:rPr>
                <w:rFonts w:ascii="Arial" w:eastAsia="Times New Roman" w:hAnsi="Arial"/>
                <w:b/>
                <w:bCs/>
                <w:sz w:val="20"/>
                <w:szCs w:val="20"/>
                <w:lang w:eastAsia="en-GB"/>
              </w:rPr>
              <w:t>)</w:t>
            </w:r>
          </w:p>
          <w:p w:rsidR="00886B3B" w:rsidRPr="00A32127" w:rsidRDefault="00886B3B" w:rsidP="00886B3B">
            <w:pPr>
              <w:spacing w:line="240" w:lineRule="auto"/>
              <w:jc w:val="center"/>
              <w:rPr>
                <w:rFonts w:ascii="Arial" w:eastAsia="Times New Roman" w:hAnsi="Arial"/>
                <w:b/>
                <w:bCs/>
                <w:color w:val="FF0000"/>
                <w:sz w:val="20"/>
                <w:szCs w:val="20"/>
                <w:lang w:eastAsia="en-GB"/>
              </w:rPr>
            </w:pPr>
            <w:r w:rsidRPr="00FC0889">
              <w:rPr>
                <w:rFonts w:ascii="Arial" w:eastAsia="Times New Roman" w:hAnsi="Arial"/>
                <w:b/>
                <w:bCs/>
                <w:sz w:val="20"/>
                <w:szCs w:val="20"/>
                <w:lang w:eastAsia="en-GB"/>
              </w:rPr>
              <w:t>Results</w:t>
            </w:r>
          </w:p>
        </w:tc>
        <w:tc>
          <w:tcPr>
            <w:tcW w:w="1811" w:type="pct"/>
            <w:shd w:val="clear" w:color="auto" w:fill="DBE5F1" w:themeFill="accent1" w:themeFillTint="33"/>
            <w:noWrap/>
            <w:vAlign w:val="bottom"/>
            <w:hideMark/>
          </w:tcPr>
          <w:p w:rsidR="00886B3B" w:rsidRPr="00886B3B" w:rsidRDefault="00886B3B" w:rsidP="00886B3B">
            <w:pPr>
              <w:spacing w:line="240" w:lineRule="auto"/>
              <w:jc w:val="center"/>
              <w:rPr>
                <w:rFonts w:ascii="Arial" w:eastAsia="Times New Roman" w:hAnsi="Arial"/>
                <w:b/>
                <w:bCs/>
                <w:sz w:val="20"/>
                <w:szCs w:val="20"/>
                <w:lang w:eastAsia="en-GB"/>
              </w:rPr>
            </w:pPr>
            <w:r w:rsidRPr="00886B3B">
              <w:rPr>
                <w:rFonts w:ascii="Arial" w:eastAsia="Times New Roman" w:hAnsi="Arial"/>
                <w:b/>
                <w:bCs/>
                <w:sz w:val="20"/>
                <w:szCs w:val="20"/>
                <w:lang w:eastAsia="en-GB"/>
              </w:rPr>
              <w:t xml:space="preserve">Will </w:t>
            </w:r>
          </w:p>
          <w:p w:rsidR="00886B3B" w:rsidRPr="00886B3B" w:rsidRDefault="00886B3B" w:rsidP="00886B3B">
            <w:pPr>
              <w:spacing w:line="240" w:lineRule="auto"/>
              <w:jc w:val="center"/>
              <w:rPr>
                <w:rFonts w:ascii="Arial" w:eastAsia="Times New Roman" w:hAnsi="Arial"/>
                <w:b/>
                <w:bCs/>
                <w:sz w:val="20"/>
                <w:szCs w:val="20"/>
                <w:lang w:eastAsia="en-GB"/>
              </w:rPr>
            </w:pPr>
            <w:r w:rsidRPr="00886B3B">
              <w:rPr>
                <w:rFonts w:ascii="Arial" w:eastAsia="Times New Roman" w:hAnsi="Arial"/>
                <w:b/>
                <w:bCs/>
                <w:sz w:val="20"/>
                <w:szCs w:val="20"/>
                <w:lang w:eastAsia="en-GB"/>
              </w:rPr>
              <w:t>Demonstrate</w:t>
            </w:r>
          </w:p>
          <w:p w:rsidR="00886B3B" w:rsidRPr="00886B3B" w:rsidRDefault="00886B3B" w:rsidP="00886B3B">
            <w:pPr>
              <w:spacing w:line="240" w:lineRule="auto"/>
              <w:jc w:val="center"/>
              <w:rPr>
                <w:rFonts w:ascii="Arial" w:eastAsia="Times New Roman" w:hAnsi="Arial"/>
                <w:b/>
                <w:bCs/>
                <w:i/>
                <w:sz w:val="20"/>
                <w:szCs w:val="20"/>
                <w:lang w:eastAsia="en-GB"/>
              </w:rPr>
            </w:pPr>
            <w:r w:rsidRPr="00886B3B">
              <w:rPr>
                <w:rFonts w:ascii="Arial" w:eastAsia="Times New Roman" w:hAnsi="Arial"/>
                <w:b/>
                <w:bCs/>
                <w:i/>
                <w:sz w:val="20"/>
                <w:szCs w:val="20"/>
                <w:lang w:eastAsia="en-GB"/>
              </w:rPr>
              <w:t>Comments</w:t>
            </w:r>
          </w:p>
        </w:tc>
      </w:tr>
      <w:tr w:rsidR="00886B3B" w:rsidRPr="00886B3B" w:rsidTr="00886B3B">
        <w:trPr>
          <w:trHeight w:val="789"/>
        </w:trPr>
        <w:tc>
          <w:tcPr>
            <w:tcW w:w="2196" w:type="pct"/>
            <w:shd w:val="clear" w:color="auto" w:fill="auto"/>
            <w:vAlign w:val="center"/>
            <w:hideMark/>
          </w:tcPr>
          <w:p w:rsidR="00886B3B" w:rsidRPr="00886B3B" w:rsidRDefault="00886B3B" w:rsidP="00886B3B">
            <w:pPr>
              <w:spacing w:line="240" w:lineRule="auto"/>
              <w:rPr>
                <w:rFonts w:ascii="Arial" w:eastAsia="Times New Roman" w:hAnsi="Arial"/>
                <w:sz w:val="20"/>
                <w:szCs w:val="20"/>
                <w:lang w:eastAsia="en-GB"/>
              </w:rPr>
            </w:pPr>
          </w:p>
          <w:p w:rsidR="00886B3B" w:rsidRPr="00886B3B" w:rsidRDefault="00886B3B" w:rsidP="00886B3B">
            <w:pPr>
              <w:spacing w:line="240" w:lineRule="auto"/>
              <w:rPr>
                <w:rFonts w:ascii="Arial" w:eastAsia="Times New Roman" w:hAnsi="Arial"/>
                <w:sz w:val="20"/>
                <w:szCs w:val="20"/>
                <w:lang w:eastAsia="en-GB"/>
              </w:rPr>
            </w:pPr>
            <w:r w:rsidRPr="00886B3B">
              <w:rPr>
                <w:rFonts w:ascii="Arial" w:eastAsia="Times New Roman" w:hAnsi="Arial"/>
                <w:sz w:val="20"/>
                <w:szCs w:val="20"/>
                <w:lang w:eastAsia="en-GB"/>
              </w:rPr>
              <w:t>A1 Percentage of all council expenditure covered by contracts</w:t>
            </w:r>
          </w:p>
          <w:p w:rsidR="00886B3B" w:rsidRPr="00886B3B" w:rsidRDefault="00886B3B" w:rsidP="00886B3B">
            <w:pPr>
              <w:spacing w:line="240" w:lineRule="auto"/>
              <w:rPr>
                <w:rFonts w:ascii="Arial" w:eastAsia="Times New Roman" w:hAnsi="Arial"/>
                <w:sz w:val="20"/>
                <w:szCs w:val="20"/>
                <w:lang w:eastAsia="en-GB"/>
              </w:rPr>
            </w:pPr>
            <w:r w:rsidRPr="00886B3B">
              <w:rPr>
                <w:rFonts w:ascii="Arial" w:eastAsia="Times New Roman" w:hAnsi="Arial"/>
                <w:sz w:val="20"/>
                <w:szCs w:val="20"/>
                <w:lang w:eastAsia="en-GB"/>
              </w:rPr>
              <w:t>Total commercial spend – contract register annual estimated values for live contracts in year</w:t>
            </w:r>
          </w:p>
          <w:p w:rsidR="00886B3B" w:rsidRPr="00886B3B" w:rsidRDefault="00886B3B" w:rsidP="00886B3B">
            <w:pPr>
              <w:spacing w:line="240" w:lineRule="auto"/>
              <w:rPr>
                <w:rFonts w:ascii="Arial" w:eastAsia="Times New Roman" w:hAnsi="Arial"/>
                <w:sz w:val="20"/>
                <w:szCs w:val="20"/>
                <w:lang w:eastAsia="en-GB"/>
              </w:rPr>
            </w:pPr>
          </w:p>
        </w:tc>
        <w:tc>
          <w:tcPr>
            <w:tcW w:w="492" w:type="pct"/>
            <w:shd w:val="clear" w:color="auto" w:fill="auto"/>
            <w:noWrap/>
            <w:vAlign w:val="center"/>
            <w:hideMark/>
          </w:tcPr>
          <w:p w:rsidR="00886B3B" w:rsidRPr="00886B3B" w:rsidRDefault="00886B3B" w:rsidP="00886B3B">
            <w:pPr>
              <w:spacing w:line="240" w:lineRule="auto"/>
              <w:jc w:val="center"/>
              <w:rPr>
                <w:rFonts w:ascii="Arial" w:eastAsia="Times New Roman" w:hAnsi="Arial"/>
                <w:sz w:val="20"/>
                <w:szCs w:val="20"/>
                <w:lang w:eastAsia="en-GB"/>
              </w:rPr>
            </w:pPr>
            <w:r w:rsidRPr="00886B3B">
              <w:rPr>
                <w:rFonts w:ascii="Arial" w:eastAsia="Times New Roman" w:hAnsi="Arial"/>
                <w:sz w:val="20"/>
                <w:szCs w:val="20"/>
                <w:lang w:eastAsia="en-GB"/>
              </w:rPr>
              <w:t>95%</w:t>
            </w:r>
          </w:p>
        </w:tc>
        <w:tc>
          <w:tcPr>
            <w:tcW w:w="501" w:type="pct"/>
          </w:tcPr>
          <w:p w:rsidR="00886B3B" w:rsidRPr="00A32127" w:rsidRDefault="00886B3B" w:rsidP="00886B3B">
            <w:pPr>
              <w:spacing w:line="240" w:lineRule="auto"/>
              <w:jc w:val="center"/>
              <w:rPr>
                <w:rFonts w:ascii="Arial" w:eastAsia="Times New Roman" w:hAnsi="Arial"/>
                <w:color w:val="FF0000"/>
                <w:sz w:val="20"/>
                <w:szCs w:val="20"/>
                <w:lang w:eastAsia="en-GB"/>
              </w:rPr>
            </w:pPr>
          </w:p>
          <w:p w:rsidR="00BC49A4" w:rsidRPr="00CC65D9" w:rsidRDefault="00C4484E" w:rsidP="00886B3B">
            <w:pPr>
              <w:spacing w:line="240" w:lineRule="auto"/>
              <w:jc w:val="center"/>
              <w:rPr>
                <w:rFonts w:ascii="Arial" w:eastAsia="Times New Roman" w:hAnsi="Arial"/>
                <w:sz w:val="20"/>
                <w:szCs w:val="20"/>
                <w:lang w:eastAsia="en-GB"/>
              </w:rPr>
            </w:pPr>
            <w:r w:rsidRPr="00CC65D9">
              <w:rPr>
                <w:rFonts w:ascii="Arial" w:eastAsia="Times New Roman" w:hAnsi="Arial"/>
                <w:sz w:val="20"/>
                <w:szCs w:val="20"/>
                <w:lang w:eastAsia="en-GB"/>
              </w:rPr>
              <w:t>95.88%</w:t>
            </w:r>
          </w:p>
          <w:p w:rsidR="00886B3B" w:rsidRPr="00CC65D9" w:rsidRDefault="00C47C6A" w:rsidP="00886B3B">
            <w:pPr>
              <w:spacing w:line="240" w:lineRule="auto"/>
              <w:jc w:val="center"/>
              <w:rPr>
                <w:rFonts w:ascii="Arial" w:eastAsia="Times New Roman" w:hAnsi="Arial"/>
                <w:sz w:val="20"/>
                <w:szCs w:val="20"/>
                <w:lang w:eastAsia="en-GB"/>
              </w:rPr>
            </w:pPr>
            <w:r w:rsidRPr="00CC65D9">
              <w:rPr>
                <w:rFonts w:ascii="Arial" w:eastAsia="Times New Roman" w:hAnsi="Arial"/>
                <w:sz w:val="20"/>
                <w:szCs w:val="20"/>
                <w:lang w:eastAsia="en-GB"/>
              </w:rPr>
              <w:t>(</w:t>
            </w:r>
            <w:r w:rsidR="00886B3B" w:rsidRPr="00CC65D9">
              <w:rPr>
                <w:rFonts w:ascii="Arial" w:eastAsia="Times New Roman" w:hAnsi="Arial"/>
                <w:sz w:val="20"/>
                <w:szCs w:val="20"/>
                <w:lang w:eastAsia="en-GB"/>
              </w:rPr>
              <w:t>94.73%</w:t>
            </w:r>
            <w:r w:rsidRPr="00CC65D9">
              <w:rPr>
                <w:rFonts w:ascii="Arial" w:eastAsia="Times New Roman" w:hAnsi="Arial"/>
                <w:sz w:val="20"/>
                <w:szCs w:val="20"/>
                <w:lang w:eastAsia="en-GB"/>
              </w:rPr>
              <w:t>)</w:t>
            </w:r>
          </w:p>
          <w:p w:rsidR="00886B3B" w:rsidRPr="00A32127" w:rsidRDefault="00886B3B" w:rsidP="00886B3B">
            <w:pPr>
              <w:spacing w:line="240" w:lineRule="auto"/>
              <w:jc w:val="center"/>
              <w:rPr>
                <w:rFonts w:ascii="Arial" w:eastAsia="Times New Roman" w:hAnsi="Arial"/>
                <w:color w:val="FF0000"/>
                <w:sz w:val="20"/>
                <w:szCs w:val="20"/>
                <w:lang w:eastAsia="en-GB"/>
              </w:rPr>
            </w:pPr>
          </w:p>
        </w:tc>
        <w:tc>
          <w:tcPr>
            <w:tcW w:w="1811" w:type="pct"/>
            <w:shd w:val="clear" w:color="auto" w:fill="auto"/>
            <w:noWrap/>
            <w:vAlign w:val="center"/>
            <w:hideMark/>
          </w:tcPr>
          <w:p w:rsidR="00886B3B" w:rsidRPr="00886B3B" w:rsidRDefault="00886B3B" w:rsidP="00886B3B">
            <w:pPr>
              <w:spacing w:line="240" w:lineRule="auto"/>
              <w:rPr>
                <w:rFonts w:ascii="Arial" w:eastAsia="Times New Roman" w:hAnsi="Arial"/>
                <w:sz w:val="20"/>
                <w:szCs w:val="20"/>
                <w:lang w:eastAsia="en-GB"/>
              </w:rPr>
            </w:pPr>
            <w:r w:rsidRPr="00886B3B">
              <w:rPr>
                <w:rFonts w:ascii="Arial" w:eastAsia="Times New Roman" w:hAnsi="Arial"/>
                <w:sz w:val="20"/>
                <w:szCs w:val="20"/>
                <w:lang w:eastAsia="en-GB"/>
              </w:rPr>
              <w:t xml:space="preserve">Greater contractual exposure </w:t>
            </w:r>
          </w:p>
          <w:p w:rsidR="00886B3B" w:rsidRPr="00886B3B" w:rsidRDefault="00886B3B" w:rsidP="00886B3B">
            <w:pPr>
              <w:spacing w:line="240" w:lineRule="auto"/>
              <w:rPr>
                <w:rFonts w:ascii="Arial" w:eastAsia="Times New Roman" w:hAnsi="Arial"/>
                <w:sz w:val="20"/>
                <w:szCs w:val="20"/>
                <w:lang w:eastAsia="en-GB"/>
              </w:rPr>
            </w:pPr>
            <w:r w:rsidRPr="00886B3B">
              <w:rPr>
                <w:rFonts w:ascii="Arial" w:eastAsia="Times New Roman" w:hAnsi="Arial"/>
                <w:sz w:val="20"/>
                <w:szCs w:val="20"/>
                <w:lang w:eastAsia="en-GB"/>
              </w:rPr>
              <w:t xml:space="preserve"> </w:t>
            </w:r>
          </w:p>
        </w:tc>
      </w:tr>
      <w:tr w:rsidR="00886B3B" w:rsidRPr="00886B3B" w:rsidTr="00886B3B">
        <w:trPr>
          <w:trHeight w:val="794"/>
        </w:trPr>
        <w:tc>
          <w:tcPr>
            <w:tcW w:w="2196" w:type="pct"/>
            <w:shd w:val="clear" w:color="auto" w:fill="auto"/>
            <w:vAlign w:val="center"/>
            <w:hideMark/>
          </w:tcPr>
          <w:p w:rsidR="00886B3B" w:rsidRPr="00886B3B" w:rsidRDefault="00886B3B" w:rsidP="00886B3B">
            <w:pPr>
              <w:spacing w:line="240" w:lineRule="auto"/>
              <w:rPr>
                <w:rFonts w:ascii="Arial" w:eastAsia="Times New Roman" w:hAnsi="Arial"/>
                <w:sz w:val="20"/>
                <w:szCs w:val="20"/>
                <w:lang w:eastAsia="en-GB"/>
              </w:rPr>
            </w:pPr>
            <w:r w:rsidRPr="00886B3B">
              <w:rPr>
                <w:rFonts w:ascii="Arial" w:eastAsia="Times New Roman" w:hAnsi="Arial"/>
                <w:sz w:val="20"/>
                <w:szCs w:val="20"/>
                <w:lang w:eastAsia="en-GB"/>
              </w:rPr>
              <w:t>A2 Value of procurement savings achieved through contracts live during the year</w:t>
            </w:r>
          </w:p>
        </w:tc>
        <w:tc>
          <w:tcPr>
            <w:tcW w:w="492" w:type="pct"/>
            <w:shd w:val="clear" w:color="auto" w:fill="auto"/>
            <w:vAlign w:val="center"/>
            <w:hideMark/>
          </w:tcPr>
          <w:p w:rsidR="00886B3B" w:rsidRPr="00886B3B" w:rsidRDefault="00886B3B" w:rsidP="00886B3B">
            <w:pPr>
              <w:spacing w:line="240" w:lineRule="auto"/>
              <w:jc w:val="center"/>
              <w:rPr>
                <w:rFonts w:ascii="Arial" w:eastAsia="Times New Roman" w:hAnsi="Arial"/>
                <w:sz w:val="20"/>
                <w:szCs w:val="20"/>
                <w:lang w:eastAsia="en-GB"/>
              </w:rPr>
            </w:pPr>
            <w:r w:rsidRPr="00886B3B">
              <w:rPr>
                <w:rFonts w:ascii="Arial" w:eastAsia="Times New Roman" w:hAnsi="Arial"/>
                <w:sz w:val="20"/>
                <w:szCs w:val="20"/>
                <w:lang w:eastAsia="en-GB"/>
              </w:rPr>
              <w:t>£1M</w:t>
            </w:r>
          </w:p>
        </w:tc>
        <w:tc>
          <w:tcPr>
            <w:tcW w:w="501" w:type="pct"/>
          </w:tcPr>
          <w:p w:rsidR="00C47C6A" w:rsidRDefault="00C47C6A" w:rsidP="00886B3B">
            <w:pPr>
              <w:spacing w:line="240" w:lineRule="auto"/>
              <w:jc w:val="center"/>
              <w:rPr>
                <w:rFonts w:ascii="Arial" w:eastAsia="Times New Roman" w:hAnsi="Arial"/>
                <w:color w:val="FF0000"/>
                <w:sz w:val="20"/>
                <w:szCs w:val="20"/>
                <w:lang w:eastAsia="en-GB"/>
              </w:rPr>
            </w:pPr>
          </w:p>
          <w:p w:rsidR="00886B3B" w:rsidRPr="00FC0889" w:rsidRDefault="00C47C6A" w:rsidP="00886B3B">
            <w:pPr>
              <w:spacing w:line="240" w:lineRule="auto"/>
              <w:jc w:val="center"/>
              <w:rPr>
                <w:rFonts w:ascii="Arial" w:eastAsia="Times New Roman" w:hAnsi="Arial"/>
                <w:sz w:val="20"/>
                <w:szCs w:val="20"/>
                <w:lang w:eastAsia="en-GB"/>
              </w:rPr>
            </w:pPr>
            <w:r w:rsidRPr="00FC0889">
              <w:rPr>
                <w:rFonts w:ascii="Arial" w:eastAsia="Times New Roman" w:hAnsi="Arial"/>
                <w:sz w:val="20"/>
                <w:szCs w:val="20"/>
                <w:lang w:eastAsia="en-GB"/>
              </w:rPr>
              <w:t>1.794M</w:t>
            </w:r>
          </w:p>
          <w:p w:rsidR="00886B3B" w:rsidRPr="00FC0889" w:rsidRDefault="00C47C6A" w:rsidP="00886B3B">
            <w:pPr>
              <w:spacing w:line="240" w:lineRule="auto"/>
              <w:jc w:val="center"/>
              <w:rPr>
                <w:rFonts w:ascii="Arial" w:eastAsia="Times New Roman" w:hAnsi="Arial"/>
                <w:sz w:val="20"/>
                <w:szCs w:val="20"/>
                <w:lang w:eastAsia="en-GB"/>
              </w:rPr>
            </w:pPr>
            <w:r w:rsidRPr="00FC0889">
              <w:rPr>
                <w:rFonts w:ascii="Arial" w:eastAsia="Times New Roman" w:hAnsi="Arial"/>
                <w:sz w:val="20"/>
                <w:szCs w:val="20"/>
                <w:lang w:eastAsia="en-GB"/>
              </w:rPr>
              <w:t>(</w:t>
            </w:r>
            <w:r w:rsidR="00886B3B" w:rsidRPr="00FC0889">
              <w:rPr>
                <w:rFonts w:ascii="Arial" w:eastAsia="Times New Roman" w:hAnsi="Arial"/>
                <w:sz w:val="20"/>
                <w:szCs w:val="20"/>
                <w:lang w:eastAsia="en-GB"/>
              </w:rPr>
              <w:t>1.909M</w:t>
            </w:r>
            <w:r w:rsidRPr="00FC0889">
              <w:rPr>
                <w:rFonts w:ascii="Arial" w:eastAsia="Times New Roman" w:hAnsi="Arial"/>
                <w:sz w:val="20"/>
                <w:szCs w:val="20"/>
                <w:lang w:eastAsia="en-GB"/>
              </w:rPr>
              <w:t>)</w:t>
            </w:r>
          </w:p>
          <w:p w:rsidR="00886B3B" w:rsidRPr="00A32127" w:rsidRDefault="00886B3B" w:rsidP="00886B3B">
            <w:pPr>
              <w:spacing w:line="240" w:lineRule="auto"/>
              <w:jc w:val="center"/>
              <w:rPr>
                <w:rFonts w:ascii="Arial" w:eastAsia="Times New Roman" w:hAnsi="Arial"/>
                <w:color w:val="FF0000"/>
                <w:sz w:val="20"/>
                <w:szCs w:val="20"/>
                <w:lang w:eastAsia="en-GB"/>
              </w:rPr>
            </w:pPr>
          </w:p>
          <w:p w:rsidR="00886B3B" w:rsidRPr="00A32127" w:rsidRDefault="00886B3B" w:rsidP="00886B3B">
            <w:pPr>
              <w:spacing w:line="240" w:lineRule="auto"/>
              <w:jc w:val="center"/>
              <w:rPr>
                <w:rFonts w:ascii="Arial" w:eastAsia="Times New Roman" w:hAnsi="Arial"/>
                <w:color w:val="FF0000"/>
                <w:sz w:val="20"/>
                <w:szCs w:val="20"/>
                <w:lang w:eastAsia="en-GB"/>
              </w:rPr>
            </w:pPr>
          </w:p>
        </w:tc>
        <w:tc>
          <w:tcPr>
            <w:tcW w:w="1811" w:type="pct"/>
            <w:shd w:val="clear" w:color="auto" w:fill="auto"/>
            <w:noWrap/>
            <w:vAlign w:val="center"/>
            <w:hideMark/>
          </w:tcPr>
          <w:p w:rsidR="00886B3B" w:rsidRPr="00886B3B" w:rsidRDefault="00886B3B" w:rsidP="00886B3B">
            <w:pPr>
              <w:spacing w:line="240" w:lineRule="auto"/>
              <w:rPr>
                <w:rFonts w:ascii="Arial" w:eastAsia="Times New Roman" w:hAnsi="Arial"/>
                <w:sz w:val="20"/>
                <w:szCs w:val="20"/>
                <w:lang w:eastAsia="en-GB"/>
              </w:rPr>
            </w:pPr>
            <w:r w:rsidRPr="00886B3B">
              <w:rPr>
                <w:rFonts w:ascii="Arial" w:eastAsia="Times New Roman" w:hAnsi="Arial"/>
                <w:sz w:val="20"/>
                <w:szCs w:val="20"/>
                <w:lang w:eastAsia="en-GB"/>
              </w:rPr>
              <w:t xml:space="preserve">The financial results from contracts </w:t>
            </w:r>
          </w:p>
          <w:p w:rsidR="00886B3B" w:rsidRPr="00886B3B" w:rsidRDefault="00886B3B" w:rsidP="00886B3B">
            <w:pPr>
              <w:spacing w:line="240" w:lineRule="auto"/>
              <w:rPr>
                <w:rFonts w:ascii="Arial" w:eastAsia="Times New Roman" w:hAnsi="Arial"/>
                <w:sz w:val="20"/>
                <w:szCs w:val="20"/>
                <w:lang w:eastAsia="en-GB"/>
              </w:rPr>
            </w:pPr>
          </w:p>
        </w:tc>
      </w:tr>
      <w:tr w:rsidR="00886B3B" w:rsidRPr="00886B3B" w:rsidTr="00886B3B">
        <w:trPr>
          <w:trHeight w:val="392"/>
        </w:trPr>
        <w:tc>
          <w:tcPr>
            <w:tcW w:w="2196" w:type="pct"/>
            <w:shd w:val="clear" w:color="auto" w:fill="auto"/>
            <w:vAlign w:val="center"/>
          </w:tcPr>
          <w:p w:rsidR="00886B3B" w:rsidRPr="00886B3B" w:rsidRDefault="00886B3B" w:rsidP="00886B3B">
            <w:pPr>
              <w:spacing w:line="240" w:lineRule="auto"/>
              <w:rPr>
                <w:rFonts w:ascii="Arial" w:eastAsia="Times New Roman" w:hAnsi="Arial"/>
                <w:sz w:val="20"/>
                <w:szCs w:val="20"/>
                <w:lang w:eastAsia="en-GB"/>
              </w:rPr>
            </w:pPr>
          </w:p>
          <w:p w:rsidR="00886B3B" w:rsidRPr="00886B3B" w:rsidRDefault="00886B3B" w:rsidP="00886B3B">
            <w:pPr>
              <w:spacing w:line="240" w:lineRule="auto"/>
              <w:rPr>
                <w:rFonts w:ascii="Arial" w:eastAsia="Times New Roman" w:hAnsi="Arial"/>
                <w:sz w:val="20"/>
                <w:szCs w:val="20"/>
                <w:lang w:eastAsia="en-GB"/>
              </w:rPr>
            </w:pPr>
            <w:r w:rsidRPr="00886B3B">
              <w:rPr>
                <w:rFonts w:ascii="Arial" w:eastAsia="Times New Roman" w:hAnsi="Arial"/>
                <w:sz w:val="20"/>
                <w:szCs w:val="20"/>
                <w:lang w:eastAsia="en-GB"/>
              </w:rPr>
              <w:t>A3 Number of collaborative contracts awarded as a percentage of all commenced in year</w:t>
            </w:r>
          </w:p>
          <w:p w:rsidR="00886B3B" w:rsidRPr="00886B3B" w:rsidRDefault="00886B3B" w:rsidP="00886B3B">
            <w:pPr>
              <w:spacing w:line="240" w:lineRule="auto"/>
              <w:rPr>
                <w:rFonts w:ascii="Arial" w:eastAsia="Times New Roman" w:hAnsi="Arial"/>
                <w:sz w:val="20"/>
                <w:szCs w:val="20"/>
                <w:lang w:eastAsia="en-GB"/>
              </w:rPr>
            </w:pPr>
          </w:p>
        </w:tc>
        <w:tc>
          <w:tcPr>
            <w:tcW w:w="492" w:type="pct"/>
            <w:shd w:val="clear" w:color="auto" w:fill="auto"/>
            <w:vAlign w:val="center"/>
          </w:tcPr>
          <w:p w:rsidR="00886B3B" w:rsidRPr="00886B3B" w:rsidRDefault="00886B3B" w:rsidP="00886B3B">
            <w:pPr>
              <w:spacing w:line="240" w:lineRule="auto"/>
              <w:jc w:val="center"/>
              <w:rPr>
                <w:rFonts w:ascii="Arial" w:eastAsia="Times New Roman" w:hAnsi="Arial"/>
                <w:sz w:val="20"/>
                <w:szCs w:val="20"/>
                <w:lang w:eastAsia="en-GB"/>
              </w:rPr>
            </w:pPr>
            <w:r w:rsidRPr="00886B3B">
              <w:rPr>
                <w:rFonts w:ascii="Arial" w:eastAsia="Times New Roman" w:hAnsi="Arial"/>
                <w:sz w:val="20"/>
                <w:szCs w:val="20"/>
                <w:lang w:eastAsia="en-GB"/>
              </w:rPr>
              <w:t>40%</w:t>
            </w:r>
          </w:p>
        </w:tc>
        <w:tc>
          <w:tcPr>
            <w:tcW w:w="501" w:type="pct"/>
          </w:tcPr>
          <w:p w:rsidR="00886B3B" w:rsidRPr="00A32127" w:rsidRDefault="00886B3B" w:rsidP="00886B3B">
            <w:pPr>
              <w:spacing w:line="240" w:lineRule="auto"/>
              <w:jc w:val="center"/>
              <w:rPr>
                <w:rFonts w:ascii="Arial" w:eastAsia="Times New Roman" w:hAnsi="Arial"/>
                <w:color w:val="FF0000"/>
                <w:sz w:val="20"/>
                <w:szCs w:val="20"/>
                <w:lang w:eastAsia="en-GB"/>
              </w:rPr>
            </w:pPr>
          </w:p>
          <w:p w:rsidR="00C47C6A" w:rsidRPr="00FC0889" w:rsidRDefault="00FC0889" w:rsidP="00886B3B">
            <w:pPr>
              <w:spacing w:line="240" w:lineRule="auto"/>
              <w:jc w:val="center"/>
              <w:rPr>
                <w:rFonts w:ascii="Arial" w:eastAsia="Times New Roman" w:hAnsi="Arial"/>
                <w:sz w:val="20"/>
                <w:szCs w:val="20"/>
                <w:lang w:eastAsia="en-GB"/>
              </w:rPr>
            </w:pPr>
            <w:r w:rsidRPr="00FC0889">
              <w:rPr>
                <w:rFonts w:ascii="Arial" w:eastAsia="Times New Roman" w:hAnsi="Arial"/>
                <w:sz w:val="20"/>
                <w:szCs w:val="20"/>
                <w:lang w:eastAsia="en-GB"/>
              </w:rPr>
              <w:t>53.03%</w:t>
            </w:r>
          </w:p>
          <w:p w:rsidR="00886B3B" w:rsidRPr="00FC0889" w:rsidRDefault="00C47C6A" w:rsidP="00886B3B">
            <w:pPr>
              <w:spacing w:line="240" w:lineRule="auto"/>
              <w:jc w:val="center"/>
              <w:rPr>
                <w:rFonts w:ascii="Arial" w:eastAsia="Times New Roman" w:hAnsi="Arial"/>
                <w:sz w:val="20"/>
                <w:szCs w:val="20"/>
                <w:lang w:eastAsia="en-GB"/>
              </w:rPr>
            </w:pPr>
            <w:r w:rsidRPr="00FC0889">
              <w:rPr>
                <w:rFonts w:ascii="Arial" w:eastAsia="Times New Roman" w:hAnsi="Arial"/>
                <w:sz w:val="20"/>
                <w:szCs w:val="20"/>
                <w:lang w:eastAsia="en-GB"/>
              </w:rPr>
              <w:t>(</w:t>
            </w:r>
            <w:r w:rsidR="00886B3B" w:rsidRPr="00FC0889">
              <w:rPr>
                <w:rFonts w:ascii="Arial" w:eastAsia="Times New Roman" w:hAnsi="Arial"/>
                <w:sz w:val="20"/>
                <w:szCs w:val="20"/>
                <w:lang w:eastAsia="en-GB"/>
              </w:rPr>
              <w:t>38.80%</w:t>
            </w:r>
            <w:r w:rsidRPr="00FC0889">
              <w:rPr>
                <w:rFonts w:ascii="Arial" w:eastAsia="Times New Roman" w:hAnsi="Arial"/>
                <w:sz w:val="20"/>
                <w:szCs w:val="20"/>
                <w:lang w:eastAsia="en-GB"/>
              </w:rPr>
              <w:t>)</w:t>
            </w:r>
          </w:p>
          <w:p w:rsidR="00886B3B" w:rsidRPr="00A32127" w:rsidRDefault="00886B3B" w:rsidP="00886B3B">
            <w:pPr>
              <w:spacing w:line="240" w:lineRule="auto"/>
              <w:jc w:val="center"/>
              <w:rPr>
                <w:rFonts w:ascii="Arial" w:eastAsia="Times New Roman" w:hAnsi="Arial"/>
                <w:color w:val="FF0000"/>
                <w:sz w:val="20"/>
                <w:szCs w:val="20"/>
                <w:lang w:eastAsia="en-GB"/>
              </w:rPr>
            </w:pPr>
          </w:p>
        </w:tc>
        <w:tc>
          <w:tcPr>
            <w:tcW w:w="1811" w:type="pct"/>
            <w:shd w:val="clear" w:color="auto" w:fill="auto"/>
            <w:vAlign w:val="center"/>
          </w:tcPr>
          <w:p w:rsidR="00886B3B" w:rsidRPr="00886B3B" w:rsidRDefault="00886B3B" w:rsidP="00886B3B">
            <w:pPr>
              <w:spacing w:line="240" w:lineRule="auto"/>
              <w:rPr>
                <w:rFonts w:ascii="Arial" w:eastAsia="Times New Roman" w:hAnsi="Arial"/>
                <w:sz w:val="20"/>
                <w:szCs w:val="20"/>
                <w:lang w:eastAsia="en-GB"/>
              </w:rPr>
            </w:pPr>
            <w:r w:rsidRPr="00886B3B">
              <w:rPr>
                <w:rFonts w:ascii="Arial" w:eastAsia="Times New Roman" w:hAnsi="Arial"/>
                <w:sz w:val="20"/>
                <w:szCs w:val="20"/>
                <w:lang w:eastAsia="en-GB"/>
              </w:rPr>
              <w:t xml:space="preserve">Successful collaboration </w:t>
            </w:r>
          </w:p>
          <w:p w:rsidR="00886B3B" w:rsidRPr="00886B3B" w:rsidRDefault="00886B3B" w:rsidP="00886B3B">
            <w:pPr>
              <w:spacing w:line="240" w:lineRule="auto"/>
              <w:rPr>
                <w:rFonts w:ascii="Arial" w:eastAsia="Times New Roman" w:hAnsi="Arial"/>
                <w:i/>
                <w:sz w:val="20"/>
                <w:szCs w:val="20"/>
                <w:lang w:eastAsia="en-GB"/>
              </w:rPr>
            </w:pPr>
          </w:p>
        </w:tc>
      </w:tr>
      <w:tr w:rsidR="00886B3B" w:rsidRPr="00886B3B" w:rsidTr="00886B3B">
        <w:trPr>
          <w:trHeight w:val="392"/>
        </w:trPr>
        <w:tc>
          <w:tcPr>
            <w:tcW w:w="2196" w:type="pct"/>
            <w:tcBorders>
              <w:top w:val="single" w:sz="4" w:space="0" w:color="auto"/>
              <w:left w:val="single" w:sz="4" w:space="0" w:color="auto"/>
              <w:bottom w:val="single" w:sz="4" w:space="0" w:color="auto"/>
              <w:right w:val="single" w:sz="4" w:space="0" w:color="auto"/>
            </w:tcBorders>
            <w:shd w:val="clear" w:color="auto" w:fill="auto"/>
            <w:vAlign w:val="center"/>
          </w:tcPr>
          <w:p w:rsidR="00886B3B" w:rsidRPr="00886B3B" w:rsidRDefault="00886B3B" w:rsidP="00886B3B">
            <w:pPr>
              <w:spacing w:line="240" w:lineRule="auto"/>
              <w:rPr>
                <w:rFonts w:ascii="Arial" w:eastAsia="Times New Roman" w:hAnsi="Arial"/>
                <w:sz w:val="20"/>
                <w:szCs w:val="20"/>
                <w:lang w:eastAsia="en-GB"/>
              </w:rPr>
            </w:pPr>
          </w:p>
          <w:p w:rsidR="00886B3B" w:rsidRPr="00886B3B" w:rsidRDefault="00886B3B" w:rsidP="00886B3B">
            <w:pPr>
              <w:spacing w:line="240" w:lineRule="auto"/>
              <w:rPr>
                <w:rFonts w:ascii="Arial" w:eastAsia="Times New Roman" w:hAnsi="Arial"/>
                <w:sz w:val="20"/>
                <w:szCs w:val="20"/>
                <w:lang w:eastAsia="en-GB"/>
              </w:rPr>
            </w:pPr>
            <w:r w:rsidRPr="00886B3B">
              <w:rPr>
                <w:rFonts w:ascii="Arial" w:eastAsia="Times New Roman" w:hAnsi="Arial"/>
                <w:sz w:val="20"/>
                <w:szCs w:val="20"/>
                <w:lang w:eastAsia="en-GB"/>
              </w:rPr>
              <w:t>A5 Percentage of contracts commenced in year that contain a contract benefit (all categories)</w:t>
            </w:r>
          </w:p>
          <w:p w:rsidR="00886B3B" w:rsidRPr="00886B3B" w:rsidRDefault="00886B3B" w:rsidP="00886B3B">
            <w:pPr>
              <w:spacing w:line="240" w:lineRule="auto"/>
              <w:rPr>
                <w:rFonts w:ascii="Arial" w:eastAsia="Times New Roman" w:hAnsi="Arial"/>
                <w:sz w:val="20"/>
                <w:szCs w:val="20"/>
                <w:lang w:eastAsia="en-GB"/>
              </w:rPr>
            </w:pP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886B3B" w:rsidRPr="00886B3B" w:rsidRDefault="00886B3B" w:rsidP="00886B3B">
            <w:pPr>
              <w:spacing w:line="240" w:lineRule="auto"/>
              <w:jc w:val="center"/>
              <w:rPr>
                <w:rFonts w:ascii="Arial" w:eastAsia="Times New Roman" w:hAnsi="Arial"/>
                <w:sz w:val="20"/>
                <w:szCs w:val="20"/>
                <w:lang w:eastAsia="en-GB"/>
              </w:rPr>
            </w:pPr>
            <w:r w:rsidRPr="00886B3B">
              <w:rPr>
                <w:rFonts w:ascii="Arial" w:eastAsia="Times New Roman" w:hAnsi="Arial"/>
                <w:sz w:val="20"/>
                <w:szCs w:val="20"/>
                <w:lang w:eastAsia="en-GB"/>
              </w:rPr>
              <w:t>15%</w:t>
            </w:r>
          </w:p>
        </w:tc>
        <w:tc>
          <w:tcPr>
            <w:tcW w:w="501" w:type="pct"/>
            <w:tcBorders>
              <w:top w:val="single" w:sz="4" w:space="0" w:color="auto"/>
              <w:left w:val="single" w:sz="4" w:space="0" w:color="auto"/>
              <w:bottom w:val="single" w:sz="4" w:space="0" w:color="auto"/>
              <w:right w:val="single" w:sz="4" w:space="0" w:color="auto"/>
            </w:tcBorders>
          </w:tcPr>
          <w:p w:rsidR="00886B3B" w:rsidRDefault="00886B3B" w:rsidP="00886B3B">
            <w:pPr>
              <w:spacing w:line="240" w:lineRule="auto"/>
              <w:jc w:val="center"/>
              <w:rPr>
                <w:rFonts w:ascii="Arial" w:eastAsia="Times New Roman" w:hAnsi="Arial"/>
                <w:color w:val="FF0000"/>
                <w:sz w:val="20"/>
                <w:szCs w:val="20"/>
                <w:lang w:eastAsia="en-GB"/>
              </w:rPr>
            </w:pPr>
          </w:p>
          <w:p w:rsidR="00FC0889" w:rsidRPr="00BC49A4" w:rsidRDefault="00BC49A4" w:rsidP="00886B3B">
            <w:pPr>
              <w:spacing w:line="240" w:lineRule="auto"/>
              <w:jc w:val="center"/>
              <w:rPr>
                <w:rFonts w:ascii="Arial" w:eastAsia="Times New Roman" w:hAnsi="Arial"/>
                <w:sz w:val="20"/>
                <w:szCs w:val="20"/>
                <w:lang w:eastAsia="en-GB"/>
              </w:rPr>
            </w:pPr>
            <w:r w:rsidRPr="00BC49A4">
              <w:rPr>
                <w:rFonts w:ascii="Arial" w:eastAsia="Times New Roman" w:hAnsi="Arial"/>
                <w:sz w:val="20"/>
                <w:szCs w:val="20"/>
                <w:lang w:eastAsia="en-GB"/>
              </w:rPr>
              <w:t>81.82%</w:t>
            </w:r>
          </w:p>
          <w:p w:rsidR="00886B3B" w:rsidRPr="00BC49A4" w:rsidRDefault="00FC0889" w:rsidP="00886B3B">
            <w:pPr>
              <w:spacing w:line="240" w:lineRule="auto"/>
              <w:jc w:val="center"/>
              <w:rPr>
                <w:rFonts w:ascii="Arial" w:eastAsia="Times New Roman" w:hAnsi="Arial"/>
                <w:sz w:val="20"/>
                <w:szCs w:val="20"/>
                <w:lang w:eastAsia="en-GB"/>
              </w:rPr>
            </w:pPr>
            <w:r w:rsidRPr="00BC49A4">
              <w:rPr>
                <w:rFonts w:ascii="Arial" w:eastAsia="Times New Roman" w:hAnsi="Arial"/>
                <w:sz w:val="20"/>
                <w:szCs w:val="20"/>
                <w:lang w:eastAsia="en-GB"/>
              </w:rPr>
              <w:t>(</w:t>
            </w:r>
            <w:r w:rsidR="00886B3B" w:rsidRPr="00BC49A4">
              <w:rPr>
                <w:rFonts w:ascii="Arial" w:eastAsia="Times New Roman" w:hAnsi="Arial"/>
                <w:sz w:val="20"/>
                <w:szCs w:val="20"/>
                <w:lang w:eastAsia="en-GB"/>
              </w:rPr>
              <w:t>90.83%</w:t>
            </w:r>
            <w:r w:rsidRPr="00BC49A4">
              <w:rPr>
                <w:rFonts w:ascii="Arial" w:eastAsia="Times New Roman" w:hAnsi="Arial"/>
                <w:sz w:val="20"/>
                <w:szCs w:val="20"/>
                <w:lang w:eastAsia="en-GB"/>
              </w:rPr>
              <w:t>)</w:t>
            </w:r>
          </w:p>
          <w:p w:rsidR="00886B3B" w:rsidRPr="00A32127" w:rsidRDefault="00886B3B" w:rsidP="00886B3B">
            <w:pPr>
              <w:spacing w:line="240" w:lineRule="auto"/>
              <w:jc w:val="center"/>
              <w:rPr>
                <w:rFonts w:ascii="Arial" w:eastAsia="Times New Roman" w:hAnsi="Arial"/>
                <w:color w:val="FF0000"/>
                <w:sz w:val="20"/>
                <w:szCs w:val="20"/>
                <w:lang w:eastAsia="en-GB"/>
              </w:rPr>
            </w:pPr>
          </w:p>
          <w:p w:rsidR="00886B3B" w:rsidRPr="00A32127" w:rsidRDefault="00886B3B" w:rsidP="00886B3B">
            <w:pPr>
              <w:spacing w:line="240" w:lineRule="auto"/>
              <w:rPr>
                <w:rFonts w:ascii="Arial" w:eastAsia="Times New Roman" w:hAnsi="Arial"/>
                <w:color w:val="FF0000"/>
                <w:sz w:val="20"/>
                <w:szCs w:val="20"/>
                <w:lang w:eastAsia="en-GB"/>
              </w:rPr>
            </w:pPr>
          </w:p>
        </w:tc>
        <w:tc>
          <w:tcPr>
            <w:tcW w:w="1811" w:type="pct"/>
            <w:tcBorders>
              <w:top w:val="single" w:sz="4" w:space="0" w:color="auto"/>
              <w:left w:val="single" w:sz="4" w:space="0" w:color="auto"/>
              <w:bottom w:val="single" w:sz="4" w:space="0" w:color="auto"/>
              <w:right w:val="single" w:sz="4" w:space="0" w:color="auto"/>
            </w:tcBorders>
            <w:shd w:val="clear" w:color="auto" w:fill="auto"/>
            <w:vAlign w:val="center"/>
          </w:tcPr>
          <w:p w:rsidR="00886B3B" w:rsidRPr="00886B3B" w:rsidRDefault="00886B3B" w:rsidP="00886B3B">
            <w:pPr>
              <w:spacing w:line="240" w:lineRule="auto"/>
              <w:rPr>
                <w:rFonts w:ascii="Arial" w:eastAsia="Times New Roman" w:hAnsi="Arial"/>
                <w:sz w:val="20"/>
                <w:szCs w:val="20"/>
                <w:lang w:eastAsia="en-GB"/>
              </w:rPr>
            </w:pPr>
            <w:r w:rsidRPr="00886B3B">
              <w:rPr>
                <w:rFonts w:ascii="Arial" w:eastAsia="Times New Roman" w:hAnsi="Arial"/>
                <w:sz w:val="20"/>
                <w:szCs w:val="20"/>
                <w:lang w:eastAsia="en-GB"/>
              </w:rPr>
              <w:t>Increasing focus on non-financial benefit</w:t>
            </w:r>
          </w:p>
          <w:p w:rsidR="00886B3B" w:rsidRPr="00886B3B" w:rsidRDefault="00BC49A4" w:rsidP="00BC49A4">
            <w:pPr>
              <w:spacing w:line="240" w:lineRule="auto"/>
              <w:rPr>
                <w:rFonts w:ascii="Arial" w:eastAsia="Times New Roman" w:hAnsi="Arial"/>
                <w:sz w:val="20"/>
                <w:szCs w:val="20"/>
                <w:lang w:eastAsia="en-GB"/>
              </w:rPr>
            </w:pPr>
            <w:r>
              <w:rPr>
                <w:rFonts w:ascii="Arial" w:eastAsia="Times New Roman" w:hAnsi="Arial"/>
                <w:i/>
                <w:sz w:val="20"/>
                <w:szCs w:val="20"/>
                <w:lang w:eastAsia="en-GB"/>
              </w:rPr>
              <w:t xml:space="preserve">108 </w:t>
            </w:r>
          </w:p>
        </w:tc>
      </w:tr>
    </w:tbl>
    <w:p w:rsidR="00886B3B" w:rsidRPr="00886B3B" w:rsidRDefault="00886B3B" w:rsidP="00886B3B">
      <w:pPr>
        <w:rPr>
          <w:rFonts w:ascii="Arial" w:hAnsi="Arial"/>
        </w:rPr>
      </w:pPr>
    </w:p>
    <w:p w:rsidR="00886B3B" w:rsidRDefault="00886B3B" w:rsidP="00886B3B">
      <w:pPr>
        <w:autoSpaceDE w:val="0"/>
        <w:autoSpaceDN w:val="0"/>
        <w:adjustRightInd w:val="0"/>
        <w:spacing w:after="200" w:line="240" w:lineRule="auto"/>
        <w:ind w:left="720"/>
        <w:contextualSpacing/>
        <w:rPr>
          <w:rFonts w:ascii="Arial" w:hAnsi="Arial"/>
          <w:color w:val="000000"/>
        </w:rPr>
      </w:pPr>
    </w:p>
    <w:p w:rsidR="00CC65D9" w:rsidRDefault="00CC65D9" w:rsidP="00886B3B">
      <w:pPr>
        <w:autoSpaceDE w:val="0"/>
        <w:autoSpaceDN w:val="0"/>
        <w:adjustRightInd w:val="0"/>
        <w:spacing w:after="200" w:line="240" w:lineRule="auto"/>
        <w:ind w:left="720"/>
        <w:contextualSpacing/>
        <w:rPr>
          <w:rFonts w:ascii="Arial" w:hAnsi="Arial"/>
          <w:color w:val="000000"/>
        </w:rPr>
      </w:pPr>
    </w:p>
    <w:p w:rsidR="00CC65D9" w:rsidRDefault="00CC65D9" w:rsidP="00886B3B">
      <w:pPr>
        <w:autoSpaceDE w:val="0"/>
        <w:autoSpaceDN w:val="0"/>
        <w:adjustRightInd w:val="0"/>
        <w:spacing w:after="200" w:line="240" w:lineRule="auto"/>
        <w:ind w:left="720"/>
        <w:contextualSpacing/>
        <w:rPr>
          <w:rFonts w:ascii="Arial" w:hAnsi="Arial"/>
          <w:color w:val="000000"/>
        </w:rPr>
      </w:pPr>
    </w:p>
    <w:p w:rsidR="00CC65D9" w:rsidRDefault="00CC65D9" w:rsidP="00886B3B">
      <w:pPr>
        <w:autoSpaceDE w:val="0"/>
        <w:autoSpaceDN w:val="0"/>
        <w:adjustRightInd w:val="0"/>
        <w:spacing w:after="200" w:line="240" w:lineRule="auto"/>
        <w:ind w:left="720"/>
        <w:contextualSpacing/>
        <w:rPr>
          <w:rFonts w:ascii="Arial" w:hAnsi="Arial"/>
          <w:color w:val="000000"/>
        </w:rPr>
      </w:pPr>
    </w:p>
    <w:p w:rsidR="00CC65D9" w:rsidRDefault="00CC65D9" w:rsidP="00886B3B">
      <w:pPr>
        <w:autoSpaceDE w:val="0"/>
        <w:autoSpaceDN w:val="0"/>
        <w:adjustRightInd w:val="0"/>
        <w:spacing w:after="200" w:line="240" w:lineRule="auto"/>
        <w:ind w:left="720"/>
        <w:contextualSpacing/>
        <w:rPr>
          <w:rFonts w:ascii="Arial" w:hAnsi="Arial"/>
          <w:color w:val="000000"/>
        </w:rPr>
      </w:pPr>
    </w:p>
    <w:p w:rsidR="00CC65D9" w:rsidRDefault="00CC65D9" w:rsidP="00886B3B">
      <w:pPr>
        <w:autoSpaceDE w:val="0"/>
        <w:autoSpaceDN w:val="0"/>
        <w:adjustRightInd w:val="0"/>
        <w:spacing w:after="200" w:line="240" w:lineRule="auto"/>
        <w:ind w:left="720"/>
        <w:contextualSpacing/>
        <w:rPr>
          <w:rFonts w:ascii="Arial" w:hAnsi="Arial"/>
          <w:color w:val="000000"/>
        </w:rPr>
      </w:pPr>
    </w:p>
    <w:p w:rsidR="00CC65D9" w:rsidRPr="00886B3B" w:rsidRDefault="00CC65D9" w:rsidP="00886B3B">
      <w:pPr>
        <w:autoSpaceDE w:val="0"/>
        <w:autoSpaceDN w:val="0"/>
        <w:adjustRightInd w:val="0"/>
        <w:spacing w:after="200" w:line="240" w:lineRule="auto"/>
        <w:ind w:left="720"/>
        <w:contextualSpacing/>
        <w:rPr>
          <w:rFonts w:ascii="Arial" w:hAnsi="Arial"/>
          <w:color w:val="000000"/>
        </w:rPr>
      </w:pPr>
    </w:p>
    <w:p w:rsidR="00886B3B" w:rsidRPr="00886B3B" w:rsidRDefault="00886B3B" w:rsidP="00886B3B">
      <w:pPr>
        <w:autoSpaceDE w:val="0"/>
        <w:autoSpaceDN w:val="0"/>
        <w:adjustRightInd w:val="0"/>
        <w:spacing w:after="200" w:line="240" w:lineRule="auto"/>
        <w:ind w:left="720"/>
        <w:contextualSpacing/>
        <w:rPr>
          <w:rFonts w:ascii="Arial" w:hAnsi="Arial"/>
          <w:color w:val="000000"/>
        </w:rPr>
      </w:pPr>
    </w:p>
    <w:p w:rsidR="00886B3B" w:rsidRPr="00886B3B" w:rsidRDefault="00886B3B" w:rsidP="00886B3B">
      <w:pPr>
        <w:autoSpaceDE w:val="0"/>
        <w:autoSpaceDN w:val="0"/>
        <w:adjustRightInd w:val="0"/>
        <w:spacing w:after="200" w:line="240" w:lineRule="auto"/>
        <w:ind w:left="720"/>
        <w:contextualSpacing/>
        <w:rPr>
          <w:rFonts w:ascii="Arial" w:hAnsi="Arial"/>
          <w:color w:val="000000"/>
        </w:rPr>
      </w:pPr>
    </w:p>
    <w:p w:rsidR="00886B3B" w:rsidRPr="00886B3B" w:rsidRDefault="00886B3B" w:rsidP="00886B3B">
      <w:pPr>
        <w:autoSpaceDE w:val="0"/>
        <w:autoSpaceDN w:val="0"/>
        <w:adjustRightInd w:val="0"/>
        <w:spacing w:after="200" w:line="240" w:lineRule="auto"/>
        <w:ind w:left="720"/>
        <w:contextualSpacing/>
        <w:rPr>
          <w:rFonts w:ascii="Arial" w:hAnsi="Arial"/>
          <w:color w:val="000000"/>
        </w:rPr>
      </w:pPr>
    </w:p>
    <w:p w:rsidR="00886B3B" w:rsidRPr="00886B3B" w:rsidRDefault="00886B3B" w:rsidP="00886B3B">
      <w:pPr>
        <w:numPr>
          <w:ilvl w:val="0"/>
          <w:numId w:val="1"/>
        </w:numPr>
        <w:autoSpaceDE w:val="0"/>
        <w:autoSpaceDN w:val="0"/>
        <w:adjustRightInd w:val="0"/>
        <w:spacing w:after="200" w:line="240" w:lineRule="auto"/>
        <w:ind w:hanging="720"/>
        <w:contextualSpacing/>
        <w:rPr>
          <w:rFonts w:ascii="Arial" w:hAnsi="Arial"/>
          <w:color w:val="000000"/>
        </w:rPr>
      </w:pPr>
      <w:r w:rsidRPr="00886B3B">
        <w:rPr>
          <w:rFonts w:ascii="Arial" w:hAnsi="Arial"/>
          <w:b/>
          <w:bCs/>
          <w:color w:val="000000"/>
        </w:rPr>
        <w:t xml:space="preserve">Contracts </w:t>
      </w:r>
    </w:p>
    <w:p w:rsidR="00886B3B" w:rsidRPr="00886B3B" w:rsidRDefault="00886B3B" w:rsidP="00886B3B">
      <w:pPr>
        <w:rPr>
          <w:rFonts w:ascii="Arial" w:hAnsi="Arial"/>
        </w:rPr>
      </w:pPr>
    </w:p>
    <w:tbl>
      <w:tblPr>
        <w:tblW w:w="141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6"/>
        <w:gridCol w:w="992"/>
        <w:gridCol w:w="1134"/>
        <w:gridCol w:w="6208"/>
      </w:tblGrid>
      <w:tr w:rsidR="00886B3B" w:rsidRPr="00886B3B" w:rsidTr="00A32127">
        <w:trPr>
          <w:trHeight w:val="538"/>
        </w:trPr>
        <w:tc>
          <w:tcPr>
            <w:tcW w:w="5856" w:type="dxa"/>
            <w:shd w:val="clear" w:color="auto" w:fill="DBE5F1" w:themeFill="accent1" w:themeFillTint="33"/>
            <w:vAlign w:val="center"/>
            <w:hideMark/>
          </w:tcPr>
          <w:p w:rsidR="00886B3B" w:rsidRPr="00886B3B" w:rsidRDefault="00886B3B" w:rsidP="00886B3B">
            <w:pPr>
              <w:spacing w:line="240" w:lineRule="auto"/>
              <w:jc w:val="center"/>
              <w:rPr>
                <w:rFonts w:ascii="Arial" w:eastAsia="Times New Roman" w:hAnsi="Arial"/>
                <w:b/>
                <w:bCs/>
                <w:sz w:val="20"/>
                <w:szCs w:val="20"/>
                <w:lang w:eastAsia="en-GB"/>
              </w:rPr>
            </w:pPr>
            <w:r w:rsidRPr="00886B3B">
              <w:rPr>
                <w:rFonts w:ascii="Arial" w:eastAsia="Times New Roman" w:hAnsi="Arial"/>
                <w:b/>
                <w:bCs/>
                <w:sz w:val="20"/>
                <w:szCs w:val="20"/>
                <w:lang w:eastAsia="en-GB"/>
              </w:rPr>
              <w:t>The measure</w:t>
            </w:r>
          </w:p>
        </w:tc>
        <w:tc>
          <w:tcPr>
            <w:tcW w:w="992" w:type="dxa"/>
            <w:shd w:val="clear" w:color="auto" w:fill="DBE5F1" w:themeFill="accent1" w:themeFillTint="33"/>
            <w:noWrap/>
            <w:vAlign w:val="bottom"/>
            <w:hideMark/>
          </w:tcPr>
          <w:p w:rsidR="00886B3B" w:rsidRPr="00886B3B" w:rsidRDefault="00886B3B" w:rsidP="00886B3B">
            <w:pPr>
              <w:spacing w:line="240" w:lineRule="auto"/>
              <w:jc w:val="center"/>
              <w:rPr>
                <w:rFonts w:ascii="Arial" w:eastAsia="Times New Roman" w:hAnsi="Arial"/>
                <w:b/>
                <w:bCs/>
                <w:sz w:val="20"/>
                <w:szCs w:val="20"/>
                <w:lang w:eastAsia="en-GB"/>
              </w:rPr>
            </w:pPr>
            <w:r w:rsidRPr="00886B3B">
              <w:rPr>
                <w:rFonts w:ascii="Arial" w:eastAsia="Times New Roman" w:hAnsi="Arial"/>
                <w:b/>
                <w:bCs/>
                <w:sz w:val="20"/>
                <w:szCs w:val="20"/>
                <w:lang w:eastAsia="en-GB"/>
              </w:rPr>
              <w:t>Target</w:t>
            </w:r>
          </w:p>
        </w:tc>
        <w:tc>
          <w:tcPr>
            <w:tcW w:w="1134" w:type="dxa"/>
            <w:shd w:val="clear" w:color="auto" w:fill="DBE5F1" w:themeFill="accent1" w:themeFillTint="33"/>
          </w:tcPr>
          <w:p w:rsidR="00886B3B" w:rsidRPr="00886B3B" w:rsidRDefault="00FC0889" w:rsidP="00886B3B">
            <w:pPr>
              <w:spacing w:line="240" w:lineRule="auto"/>
              <w:jc w:val="center"/>
              <w:rPr>
                <w:rFonts w:ascii="Arial" w:eastAsia="Times New Roman" w:hAnsi="Arial"/>
                <w:b/>
                <w:bCs/>
                <w:sz w:val="20"/>
                <w:szCs w:val="20"/>
                <w:lang w:eastAsia="en-GB"/>
              </w:rPr>
            </w:pPr>
            <w:r>
              <w:rPr>
                <w:rFonts w:ascii="Arial" w:eastAsia="Times New Roman" w:hAnsi="Arial"/>
                <w:b/>
                <w:bCs/>
                <w:sz w:val="20"/>
                <w:szCs w:val="20"/>
                <w:lang w:eastAsia="en-GB"/>
              </w:rPr>
              <w:t>2020/21</w:t>
            </w:r>
          </w:p>
          <w:p w:rsidR="00886B3B" w:rsidRPr="00886B3B" w:rsidRDefault="00FC0889" w:rsidP="00886B3B">
            <w:pPr>
              <w:spacing w:line="240" w:lineRule="auto"/>
              <w:jc w:val="center"/>
              <w:rPr>
                <w:rFonts w:ascii="Arial" w:eastAsia="Times New Roman" w:hAnsi="Arial"/>
                <w:b/>
                <w:bCs/>
                <w:sz w:val="20"/>
                <w:szCs w:val="20"/>
                <w:lang w:eastAsia="en-GB"/>
              </w:rPr>
            </w:pPr>
            <w:r>
              <w:rPr>
                <w:rFonts w:ascii="Arial" w:eastAsia="Times New Roman" w:hAnsi="Arial"/>
                <w:b/>
                <w:bCs/>
                <w:sz w:val="20"/>
                <w:szCs w:val="20"/>
                <w:lang w:eastAsia="en-GB"/>
              </w:rPr>
              <w:t>(2019/20</w:t>
            </w:r>
            <w:r w:rsidR="00886B3B" w:rsidRPr="00886B3B">
              <w:rPr>
                <w:rFonts w:ascii="Arial" w:eastAsia="Times New Roman" w:hAnsi="Arial"/>
                <w:b/>
                <w:bCs/>
                <w:sz w:val="20"/>
                <w:szCs w:val="20"/>
                <w:lang w:eastAsia="en-GB"/>
              </w:rPr>
              <w:t>)</w:t>
            </w:r>
          </w:p>
          <w:p w:rsidR="00886B3B" w:rsidRPr="00886B3B" w:rsidRDefault="00886B3B" w:rsidP="00886B3B">
            <w:pPr>
              <w:spacing w:line="240" w:lineRule="auto"/>
              <w:jc w:val="center"/>
              <w:rPr>
                <w:rFonts w:ascii="Arial" w:eastAsia="Times New Roman" w:hAnsi="Arial"/>
                <w:b/>
                <w:bCs/>
                <w:sz w:val="20"/>
                <w:szCs w:val="20"/>
                <w:lang w:eastAsia="en-GB"/>
              </w:rPr>
            </w:pPr>
            <w:r w:rsidRPr="00886B3B">
              <w:rPr>
                <w:rFonts w:ascii="Arial" w:eastAsia="Times New Roman" w:hAnsi="Arial"/>
                <w:b/>
                <w:bCs/>
                <w:sz w:val="20"/>
                <w:szCs w:val="20"/>
                <w:lang w:eastAsia="en-GB"/>
              </w:rPr>
              <w:t>Results</w:t>
            </w:r>
          </w:p>
        </w:tc>
        <w:tc>
          <w:tcPr>
            <w:tcW w:w="6208" w:type="dxa"/>
            <w:shd w:val="clear" w:color="auto" w:fill="DBE5F1" w:themeFill="accent1" w:themeFillTint="33"/>
            <w:noWrap/>
            <w:vAlign w:val="bottom"/>
            <w:hideMark/>
          </w:tcPr>
          <w:p w:rsidR="00886B3B" w:rsidRPr="00886B3B" w:rsidRDefault="00886B3B" w:rsidP="00886B3B">
            <w:pPr>
              <w:spacing w:line="240" w:lineRule="auto"/>
              <w:jc w:val="center"/>
              <w:rPr>
                <w:rFonts w:ascii="Arial" w:eastAsia="Times New Roman" w:hAnsi="Arial"/>
                <w:b/>
                <w:bCs/>
                <w:sz w:val="20"/>
                <w:szCs w:val="20"/>
                <w:lang w:eastAsia="en-GB"/>
              </w:rPr>
            </w:pPr>
            <w:r w:rsidRPr="00886B3B">
              <w:rPr>
                <w:rFonts w:ascii="Arial" w:eastAsia="Times New Roman" w:hAnsi="Arial"/>
                <w:b/>
                <w:bCs/>
                <w:sz w:val="20"/>
                <w:szCs w:val="20"/>
                <w:lang w:eastAsia="en-GB"/>
              </w:rPr>
              <w:t xml:space="preserve">Will </w:t>
            </w:r>
          </w:p>
          <w:p w:rsidR="00886B3B" w:rsidRPr="00886B3B" w:rsidRDefault="00886B3B" w:rsidP="00886B3B">
            <w:pPr>
              <w:spacing w:line="240" w:lineRule="auto"/>
              <w:jc w:val="center"/>
              <w:rPr>
                <w:rFonts w:ascii="Arial" w:eastAsia="Times New Roman" w:hAnsi="Arial"/>
                <w:b/>
                <w:bCs/>
                <w:sz w:val="20"/>
                <w:szCs w:val="20"/>
                <w:lang w:eastAsia="en-GB"/>
              </w:rPr>
            </w:pPr>
            <w:r w:rsidRPr="00886B3B">
              <w:rPr>
                <w:rFonts w:ascii="Arial" w:eastAsia="Times New Roman" w:hAnsi="Arial"/>
                <w:b/>
                <w:bCs/>
                <w:sz w:val="20"/>
                <w:szCs w:val="20"/>
                <w:lang w:eastAsia="en-GB"/>
              </w:rPr>
              <w:t>Demonstrate</w:t>
            </w:r>
          </w:p>
          <w:p w:rsidR="00886B3B" w:rsidRPr="00886B3B" w:rsidRDefault="00886B3B" w:rsidP="00886B3B">
            <w:pPr>
              <w:spacing w:line="240" w:lineRule="auto"/>
              <w:jc w:val="center"/>
              <w:rPr>
                <w:rFonts w:ascii="Arial" w:eastAsia="Times New Roman" w:hAnsi="Arial"/>
                <w:b/>
                <w:bCs/>
                <w:i/>
                <w:sz w:val="20"/>
                <w:szCs w:val="20"/>
                <w:lang w:eastAsia="en-GB"/>
              </w:rPr>
            </w:pPr>
            <w:r w:rsidRPr="00886B3B">
              <w:rPr>
                <w:rFonts w:ascii="Arial" w:eastAsia="Times New Roman" w:hAnsi="Arial"/>
                <w:b/>
                <w:bCs/>
                <w:i/>
                <w:sz w:val="20"/>
                <w:szCs w:val="20"/>
                <w:lang w:eastAsia="en-GB"/>
              </w:rPr>
              <w:t>Comments</w:t>
            </w:r>
          </w:p>
        </w:tc>
      </w:tr>
      <w:tr w:rsidR="00886B3B" w:rsidRPr="00886B3B" w:rsidTr="00A32127">
        <w:trPr>
          <w:trHeight w:val="789"/>
        </w:trPr>
        <w:tc>
          <w:tcPr>
            <w:tcW w:w="5856" w:type="dxa"/>
            <w:shd w:val="clear" w:color="auto" w:fill="auto"/>
            <w:vAlign w:val="center"/>
            <w:hideMark/>
          </w:tcPr>
          <w:p w:rsidR="00886B3B" w:rsidRPr="00886B3B" w:rsidRDefault="00886B3B" w:rsidP="00886B3B">
            <w:pPr>
              <w:spacing w:line="240" w:lineRule="auto"/>
              <w:rPr>
                <w:rFonts w:ascii="Arial" w:eastAsia="Times New Roman" w:hAnsi="Arial"/>
                <w:sz w:val="20"/>
                <w:szCs w:val="20"/>
                <w:lang w:eastAsia="en-GB"/>
              </w:rPr>
            </w:pPr>
            <w:r w:rsidRPr="00886B3B">
              <w:rPr>
                <w:rFonts w:ascii="Arial" w:eastAsia="Times New Roman" w:hAnsi="Arial"/>
                <w:sz w:val="20"/>
                <w:szCs w:val="20"/>
                <w:lang w:eastAsia="en-GB"/>
              </w:rPr>
              <w:t>B1 Percentage of planned activity taken to award during year</w:t>
            </w:r>
          </w:p>
        </w:tc>
        <w:tc>
          <w:tcPr>
            <w:tcW w:w="992" w:type="dxa"/>
            <w:shd w:val="clear" w:color="auto" w:fill="auto"/>
            <w:noWrap/>
            <w:vAlign w:val="center"/>
            <w:hideMark/>
          </w:tcPr>
          <w:p w:rsidR="00886B3B" w:rsidRPr="00886B3B" w:rsidRDefault="00886B3B" w:rsidP="00886B3B">
            <w:pPr>
              <w:spacing w:line="240" w:lineRule="auto"/>
              <w:jc w:val="center"/>
              <w:rPr>
                <w:rFonts w:ascii="Arial" w:eastAsia="Times New Roman" w:hAnsi="Arial"/>
                <w:sz w:val="20"/>
                <w:szCs w:val="20"/>
                <w:lang w:eastAsia="en-GB"/>
              </w:rPr>
            </w:pPr>
            <w:r w:rsidRPr="00886B3B">
              <w:rPr>
                <w:rFonts w:ascii="Arial" w:eastAsia="Times New Roman" w:hAnsi="Arial"/>
                <w:sz w:val="20"/>
                <w:szCs w:val="20"/>
                <w:lang w:eastAsia="en-GB"/>
              </w:rPr>
              <w:t>75%</w:t>
            </w:r>
          </w:p>
        </w:tc>
        <w:tc>
          <w:tcPr>
            <w:tcW w:w="1134" w:type="dxa"/>
          </w:tcPr>
          <w:p w:rsidR="001C4CD3" w:rsidRDefault="001C4CD3" w:rsidP="00886B3B">
            <w:pPr>
              <w:spacing w:line="240" w:lineRule="auto"/>
              <w:jc w:val="center"/>
              <w:rPr>
                <w:rFonts w:ascii="Arial" w:eastAsia="Times New Roman" w:hAnsi="Arial"/>
                <w:color w:val="FF0000"/>
                <w:sz w:val="20"/>
                <w:szCs w:val="20"/>
                <w:lang w:eastAsia="en-GB"/>
              </w:rPr>
            </w:pPr>
          </w:p>
          <w:p w:rsidR="00886B3B" w:rsidRPr="001C4CD3" w:rsidRDefault="001C4CD3" w:rsidP="00391FD9">
            <w:pPr>
              <w:spacing w:line="240" w:lineRule="auto"/>
              <w:jc w:val="center"/>
              <w:rPr>
                <w:rFonts w:ascii="Arial" w:eastAsia="Times New Roman" w:hAnsi="Arial"/>
                <w:sz w:val="20"/>
                <w:szCs w:val="20"/>
                <w:lang w:eastAsia="en-GB"/>
              </w:rPr>
            </w:pPr>
            <w:r w:rsidRPr="001C4CD3">
              <w:rPr>
                <w:rFonts w:ascii="Arial" w:eastAsia="Times New Roman" w:hAnsi="Arial"/>
                <w:sz w:val="20"/>
                <w:szCs w:val="20"/>
                <w:lang w:eastAsia="en-GB"/>
              </w:rPr>
              <w:t>12.56</w:t>
            </w:r>
            <w:r w:rsidR="00391FD9">
              <w:rPr>
                <w:rFonts w:ascii="Arial" w:eastAsia="Times New Roman" w:hAnsi="Arial"/>
                <w:sz w:val="20"/>
                <w:szCs w:val="20"/>
                <w:lang w:eastAsia="en-GB"/>
              </w:rPr>
              <w:t>%</w:t>
            </w:r>
          </w:p>
          <w:p w:rsidR="00886B3B" w:rsidRPr="001C4CD3" w:rsidRDefault="00FC0889" w:rsidP="00886B3B">
            <w:pPr>
              <w:spacing w:line="240" w:lineRule="auto"/>
              <w:jc w:val="center"/>
              <w:rPr>
                <w:rFonts w:ascii="Arial" w:eastAsia="Times New Roman" w:hAnsi="Arial"/>
                <w:sz w:val="20"/>
                <w:szCs w:val="20"/>
                <w:lang w:eastAsia="en-GB"/>
              </w:rPr>
            </w:pPr>
            <w:r w:rsidRPr="001C4CD3">
              <w:rPr>
                <w:rFonts w:ascii="Arial" w:eastAsia="Times New Roman" w:hAnsi="Arial"/>
                <w:sz w:val="20"/>
                <w:szCs w:val="20"/>
                <w:lang w:eastAsia="en-GB"/>
              </w:rPr>
              <w:t>(</w:t>
            </w:r>
            <w:r w:rsidR="00886B3B" w:rsidRPr="001C4CD3">
              <w:rPr>
                <w:rFonts w:ascii="Arial" w:eastAsia="Times New Roman" w:hAnsi="Arial"/>
                <w:sz w:val="20"/>
                <w:szCs w:val="20"/>
                <w:lang w:eastAsia="en-GB"/>
              </w:rPr>
              <w:t>78.36%</w:t>
            </w:r>
            <w:r w:rsidRPr="001C4CD3">
              <w:rPr>
                <w:rFonts w:ascii="Arial" w:eastAsia="Times New Roman" w:hAnsi="Arial"/>
                <w:sz w:val="20"/>
                <w:szCs w:val="20"/>
                <w:lang w:eastAsia="en-GB"/>
              </w:rPr>
              <w:t>)</w:t>
            </w:r>
          </w:p>
          <w:p w:rsidR="00886B3B" w:rsidRPr="00A32127" w:rsidRDefault="00886B3B" w:rsidP="00886B3B">
            <w:pPr>
              <w:spacing w:line="240" w:lineRule="auto"/>
              <w:jc w:val="center"/>
              <w:rPr>
                <w:rFonts w:ascii="Arial" w:eastAsia="Times New Roman" w:hAnsi="Arial"/>
                <w:color w:val="FF0000"/>
                <w:sz w:val="20"/>
                <w:szCs w:val="20"/>
                <w:lang w:eastAsia="en-GB"/>
              </w:rPr>
            </w:pPr>
          </w:p>
          <w:p w:rsidR="00886B3B" w:rsidRPr="00A32127" w:rsidRDefault="00886B3B" w:rsidP="00886B3B">
            <w:pPr>
              <w:spacing w:line="240" w:lineRule="auto"/>
              <w:jc w:val="center"/>
              <w:rPr>
                <w:rFonts w:ascii="Arial" w:eastAsia="Times New Roman" w:hAnsi="Arial"/>
                <w:color w:val="FF0000"/>
                <w:sz w:val="20"/>
                <w:szCs w:val="20"/>
                <w:lang w:eastAsia="en-GB"/>
              </w:rPr>
            </w:pPr>
          </w:p>
        </w:tc>
        <w:tc>
          <w:tcPr>
            <w:tcW w:w="6208" w:type="dxa"/>
            <w:shd w:val="clear" w:color="auto" w:fill="auto"/>
            <w:noWrap/>
            <w:vAlign w:val="center"/>
            <w:hideMark/>
          </w:tcPr>
          <w:p w:rsidR="00886B3B" w:rsidRPr="00886B3B" w:rsidRDefault="00886B3B" w:rsidP="00886B3B">
            <w:pPr>
              <w:spacing w:line="240" w:lineRule="auto"/>
              <w:rPr>
                <w:rFonts w:ascii="Arial" w:eastAsia="Times New Roman" w:hAnsi="Arial"/>
                <w:sz w:val="20"/>
                <w:szCs w:val="20"/>
                <w:lang w:eastAsia="en-GB"/>
              </w:rPr>
            </w:pPr>
            <w:r w:rsidRPr="00886B3B">
              <w:rPr>
                <w:rFonts w:ascii="Arial" w:eastAsia="Times New Roman" w:hAnsi="Arial"/>
                <w:sz w:val="20"/>
                <w:szCs w:val="20"/>
                <w:lang w:eastAsia="en-GB"/>
              </w:rPr>
              <w:t>Improved procurement planning</w:t>
            </w:r>
          </w:p>
          <w:p w:rsidR="00886B3B" w:rsidRDefault="001C4CD3" w:rsidP="00886B3B">
            <w:pPr>
              <w:spacing w:line="240" w:lineRule="auto"/>
              <w:rPr>
                <w:rFonts w:ascii="Arial" w:eastAsia="Times New Roman" w:hAnsi="Arial"/>
                <w:i/>
                <w:sz w:val="20"/>
                <w:szCs w:val="20"/>
                <w:lang w:eastAsia="en-GB"/>
              </w:rPr>
            </w:pPr>
            <w:r>
              <w:rPr>
                <w:rFonts w:ascii="Arial" w:eastAsia="Times New Roman" w:hAnsi="Arial"/>
                <w:i/>
                <w:sz w:val="20"/>
                <w:szCs w:val="20"/>
                <w:lang w:eastAsia="en-GB"/>
              </w:rPr>
              <w:t xml:space="preserve">The nature planned activity is changing with an increase in </w:t>
            </w:r>
            <w:r w:rsidR="00391FD9">
              <w:rPr>
                <w:rFonts w:ascii="Arial" w:eastAsia="Times New Roman" w:hAnsi="Arial"/>
                <w:i/>
                <w:sz w:val="20"/>
                <w:szCs w:val="20"/>
                <w:lang w:eastAsia="en-GB"/>
              </w:rPr>
              <w:t xml:space="preserve">planned </w:t>
            </w:r>
            <w:r>
              <w:rPr>
                <w:rFonts w:ascii="Arial" w:eastAsia="Times New Roman" w:hAnsi="Arial"/>
                <w:i/>
                <w:sz w:val="20"/>
                <w:szCs w:val="20"/>
                <w:lang w:eastAsia="en-GB"/>
              </w:rPr>
              <w:t xml:space="preserve">volume </w:t>
            </w:r>
            <w:r w:rsidR="00391FD9">
              <w:rPr>
                <w:rFonts w:ascii="Arial" w:eastAsia="Times New Roman" w:hAnsi="Arial"/>
                <w:i/>
                <w:sz w:val="20"/>
                <w:szCs w:val="20"/>
                <w:lang w:eastAsia="en-GB"/>
              </w:rPr>
              <w:t xml:space="preserve">- 104 (18/19), </w:t>
            </w:r>
            <w:r w:rsidR="00EC4D39">
              <w:rPr>
                <w:rFonts w:ascii="Arial" w:eastAsia="Times New Roman" w:hAnsi="Arial"/>
                <w:i/>
                <w:sz w:val="20"/>
                <w:szCs w:val="20"/>
                <w:lang w:eastAsia="en-GB"/>
              </w:rPr>
              <w:t xml:space="preserve">134 </w:t>
            </w:r>
            <w:r w:rsidR="00391FD9">
              <w:rPr>
                <w:rFonts w:ascii="Arial" w:eastAsia="Times New Roman" w:hAnsi="Arial"/>
                <w:i/>
                <w:sz w:val="20"/>
                <w:szCs w:val="20"/>
                <w:lang w:eastAsia="en-GB"/>
              </w:rPr>
              <w:t>(</w:t>
            </w:r>
            <w:r w:rsidR="00EC4D39">
              <w:rPr>
                <w:rFonts w:ascii="Arial" w:eastAsia="Times New Roman" w:hAnsi="Arial"/>
                <w:i/>
                <w:sz w:val="20"/>
                <w:szCs w:val="20"/>
                <w:lang w:eastAsia="en-GB"/>
              </w:rPr>
              <w:t>19/20</w:t>
            </w:r>
            <w:r w:rsidR="00391FD9">
              <w:rPr>
                <w:rFonts w:ascii="Arial" w:eastAsia="Times New Roman" w:hAnsi="Arial"/>
                <w:i/>
                <w:sz w:val="20"/>
                <w:szCs w:val="20"/>
                <w:lang w:eastAsia="en-GB"/>
              </w:rPr>
              <w:t xml:space="preserve">), </w:t>
            </w:r>
            <w:r w:rsidR="00EC4D39">
              <w:rPr>
                <w:rFonts w:ascii="Arial" w:eastAsia="Times New Roman" w:hAnsi="Arial"/>
                <w:i/>
                <w:sz w:val="20"/>
                <w:szCs w:val="20"/>
                <w:lang w:eastAsia="en-GB"/>
              </w:rPr>
              <w:t xml:space="preserve">183 </w:t>
            </w:r>
            <w:r w:rsidR="00391FD9">
              <w:rPr>
                <w:rFonts w:ascii="Arial" w:eastAsia="Times New Roman" w:hAnsi="Arial"/>
                <w:i/>
                <w:sz w:val="20"/>
                <w:szCs w:val="20"/>
                <w:lang w:eastAsia="en-GB"/>
              </w:rPr>
              <w:t>(</w:t>
            </w:r>
            <w:r w:rsidR="00EC4D39">
              <w:rPr>
                <w:rFonts w:ascii="Arial" w:eastAsia="Times New Roman" w:hAnsi="Arial"/>
                <w:i/>
                <w:sz w:val="20"/>
                <w:szCs w:val="20"/>
                <w:lang w:eastAsia="en-GB"/>
              </w:rPr>
              <w:t>20/21)</w:t>
            </w:r>
            <w:r w:rsidR="00391FD9">
              <w:rPr>
                <w:rFonts w:ascii="Arial" w:eastAsia="Times New Roman" w:hAnsi="Arial"/>
                <w:i/>
                <w:sz w:val="20"/>
                <w:szCs w:val="20"/>
                <w:lang w:eastAsia="en-GB"/>
              </w:rPr>
              <w:t xml:space="preserve"> </w:t>
            </w:r>
            <w:r>
              <w:rPr>
                <w:rFonts w:ascii="Arial" w:eastAsia="Times New Roman" w:hAnsi="Arial"/>
                <w:i/>
                <w:sz w:val="20"/>
                <w:szCs w:val="20"/>
                <w:lang w:eastAsia="en-GB"/>
              </w:rPr>
              <w:t xml:space="preserve">and requests for support for </w:t>
            </w:r>
            <w:r w:rsidR="00391FD9">
              <w:rPr>
                <w:rFonts w:ascii="Arial" w:eastAsia="Times New Roman" w:hAnsi="Arial"/>
                <w:i/>
                <w:sz w:val="20"/>
                <w:szCs w:val="20"/>
                <w:lang w:eastAsia="en-GB"/>
              </w:rPr>
              <w:t xml:space="preserve">non-tender work </w:t>
            </w:r>
            <w:r>
              <w:rPr>
                <w:rFonts w:ascii="Arial" w:eastAsia="Times New Roman" w:hAnsi="Arial"/>
                <w:i/>
                <w:sz w:val="20"/>
                <w:szCs w:val="20"/>
                <w:lang w:eastAsia="en-GB"/>
              </w:rPr>
              <w:t>extensions, quick quotes etc This impacts on this measurement and reduces the % that are taken to award stage.</w:t>
            </w:r>
          </w:p>
          <w:p w:rsidR="00EC4D39" w:rsidRDefault="00EC4D39" w:rsidP="00886B3B">
            <w:pPr>
              <w:spacing w:line="240" w:lineRule="auto"/>
              <w:rPr>
                <w:rFonts w:ascii="Arial" w:eastAsia="Times New Roman" w:hAnsi="Arial"/>
                <w:i/>
                <w:sz w:val="20"/>
                <w:szCs w:val="20"/>
                <w:lang w:eastAsia="en-GB"/>
              </w:rPr>
            </w:pPr>
            <w:r>
              <w:rPr>
                <w:rFonts w:ascii="Arial" w:eastAsia="Times New Roman" w:hAnsi="Arial"/>
                <w:i/>
                <w:sz w:val="20"/>
                <w:szCs w:val="20"/>
                <w:lang w:eastAsia="en-GB"/>
              </w:rPr>
              <w:t>The pandemic and resultant market conditions reduced the ability to</w:t>
            </w:r>
            <w:r w:rsidR="00391FD9">
              <w:rPr>
                <w:rFonts w:ascii="Arial" w:eastAsia="Times New Roman" w:hAnsi="Arial"/>
                <w:i/>
                <w:sz w:val="20"/>
                <w:szCs w:val="20"/>
                <w:lang w:eastAsia="en-GB"/>
              </w:rPr>
              <w:t xml:space="preserve"> complete</w:t>
            </w:r>
            <w:r>
              <w:rPr>
                <w:rFonts w:ascii="Arial" w:eastAsia="Times New Roman" w:hAnsi="Arial"/>
                <w:i/>
                <w:sz w:val="20"/>
                <w:szCs w:val="20"/>
                <w:lang w:eastAsia="en-GB"/>
              </w:rPr>
              <w:t xml:space="preserve"> tender</w:t>
            </w:r>
            <w:r w:rsidR="00391FD9">
              <w:rPr>
                <w:rFonts w:ascii="Arial" w:eastAsia="Times New Roman" w:hAnsi="Arial"/>
                <w:i/>
                <w:sz w:val="20"/>
                <w:szCs w:val="20"/>
                <w:lang w:eastAsia="en-GB"/>
              </w:rPr>
              <w:t>s</w:t>
            </w:r>
            <w:r>
              <w:rPr>
                <w:rFonts w:ascii="Arial" w:eastAsia="Times New Roman" w:hAnsi="Arial"/>
                <w:i/>
                <w:sz w:val="20"/>
                <w:szCs w:val="20"/>
                <w:lang w:eastAsia="en-GB"/>
              </w:rPr>
              <w:t xml:space="preserve"> from 105 </w:t>
            </w:r>
            <w:r w:rsidR="00391FD9">
              <w:rPr>
                <w:rFonts w:ascii="Arial" w:eastAsia="Times New Roman" w:hAnsi="Arial"/>
                <w:i/>
                <w:sz w:val="20"/>
                <w:szCs w:val="20"/>
                <w:lang w:eastAsia="en-GB"/>
              </w:rPr>
              <w:t>(</w:t>
            </w:r>
            <w:r>
              <w:rPr>
                <w:rFonts w:ascii="Arial" w:eastAsia="Times New Roman" w:hAnsi="Arial"/>
                <w:i/>
                <w:sz w:val="20"/>
                <w:szCs w:val="20"/>
                <w:lang w:eastAsia="en-GB"/>
              </w:rPr>
              <w:t>19/20</w:t>
            </w:r>
            <w:r w:rsidR="00391FD9">
              <w:rPr>
                <w:rFonts w:ascii="Arial" w:eastAsia="Times New Roman" w:hAnsi="Arial"/>
                <w:i/>
                <w:sz w:val="20"/>
                <w:szCs w:val="20"/>
                <w:lang w:eastAsia="en-GB"/>
              </w:rPr>
              <w:t>)</w:t>
            </w:r>
            <w:r>
              <w:rPr>
                <w:rFonts w:ascii="Arial" w:eastAsia="Times New Roman" w:hAnsi="Arial"/>
                <w:i/>
                <w:sz w:val="20"/>
                <w:szCs w:val="20"/>
                <w:lang w:eastAsia="en-GB"/>
              </w:rPr>
              <w:t xml:space="preserve"> to 23 </w:t>
            </w:r>
            <w:r w:rsidR="00391FD9">
              <w:rPr>
                <w:rFonts w:ascii="Arial" w:eastAsia="Times New Roman" w:hAnsi="Arial"/>
                <w:i/>
                <w:sz w:val="20"/>
                <w:szCs w:val="20"/>
                <w:lang w:eastAsia="en-GB"/>
              </w:rPr>
              <w:t>(</w:t>
            </w:r>
            <w:r>
              <w:rPr>
                <w:rFonts w:ascii="Arial" w:eastAsia="Times New Roman" w:hAnsi="Arial"/>
                <w:i/>
                <w:sz w:val="20"/>
                <w:szCs w:val="20"/>
                <w:lang w:eastAsia="en-GB"/>
              </w:rPr>
              <w:t>20/21</w:t>
            </w:r>
            <w:r w:rsidR="00391FD9">
              <w:rPr>
                <w:rFonts w:ascii="Arial" w:eastAsia="Times New Roman" w:hAnsi="Arial"/>
                <w:i/>
                <w:sz w:val="20"/>
                <w:szCs w:val="20"/>
                <w:lang w:eastAsia="en-GB"/>
              </w:rPr>
              <w:t>)</w:t>
            </w:r>
            <w:r>
              <w:rPr>
                <w:rFonts w:ascii="Arial" w:eastAsia="Times New Roman" w:hAnsi="Arial"/>
                <w:i/>
                <w:sz w:val="20"/>
                <w:szCs w:val="20"/>
                <w:lang w:eastAsia="en-GB"/>
              </w:rPr>
              <w:t>, however extensions taken to completion increases this to 53 or 28.96%</w:t>
            </w:r>
          </w:p>
          <w:p w:rsidR="001C4CD3" w:rsidRPr="00886B3B" w:rsidRDefault="00EC4D39" w:rsidP="00391FD9">
            <w:pPr>
              <w:spacing w:line="240" w:lineRule="auto"/>
              <w:rPr>
                <w:rFonts w:ascii="Arial" w:eastAsia="Times New Roman" w:hAnsi="Arial"/>
                <w:i/>
                <w:sz w:val="20"/>
                <w:szCs w:val="20"/>
                <w:lang w:eastAsia="en-GB"/>
              </w:rPr>
            </w:pPr>
            <w:r>
              <w:rPr>
                <w:rFonts w:ascii="Arial" w:eastAsia="Times New Roman" w:hAnsi="Arial"/>
                <w:i/>
                <w:sz w:val="20"/>
                <w:szCs w:val="20"/>
                <w:lang w:eastAsia="en-GB"/>
              </w:rPr>
              <w:t xml:space="preserve">This measurement was introduced to monitor the councils procurement planning and as such we have </w:t>
            </w:r>
            <w:r w:rsidR="00391FD9">
              <w:rPr>
                <w:rFonts w:ascii="Arial" w:eastAsia="Times New Roman" w:hAnsi="Arial"/>
                <w:i/>
                <w:sz w:val="20"/>
                <w:szCs w:val="20"/>
                <w:lang w:eastAsia="en-GB"/>
              </w:rPr>
              <w:t xml:space="preserve">seen a year on year improvement but it </w:t>
            </w:r>
            <w:r>
              <w:rPr>
                <w:rFonts w:ascii="Arial" w:eastAsia="Times New Roman" w:hAnsi="Arial"/>
                <w:i/>
                <w:sz w:val="20"/>
                <w:szCs w:val="20"/>
                <w:lang w:eastAsia="en-GB"/>
              </w:rPr>
              <w:t>is no longer considered to be viable given the changes to procurement workload</w:t>
            </w:r>
            <w:r w:rsidR="006974E5">
              <w:rPr>
                <w:rFonts w:ascii="Arial" w:eastAsia="Times New Roman" w:hAnsi="Arial"/>
                <w:i/>
                <w:sz w:val="20"/>
                <w:szCs w:val="20"/>
                <w:lang w:eastAsia="en-GB"/>
              </w:rPr>
              <w:t xml:space="preserve"> and this measurement is to be withdrawn</w:t>
            </w:r>
            <w:r w:rsidR="00CC65D9">
              <w:rPr>
                <w:rFonts w:ascii="Arial" w:eastAsia="Times New Roman" w:hAnsi="Arial"/>
                <w:i/>
                <w:sz w:val="20"/>
                <w:szCs w:val="20"/>
                <w:lang w:eastAsia="en-GB"/>
              </w:rPr>
              <w:t>.</w:t>
            </w:r>
          </w:p>
        </w:tc>
      </w:tr>
      <w:tr w:rsidR="00886B3B" w:rsidRPr="00886B3B" w:rsidTr="00A32127">
        <w:trPr>
          <w:trHeight w:val="392"/>
        </w:trPr>
        <w:tc>
          <w:tcPr>
            <w:tcW w:w="5856" w:type="dxa"/>
            <w:shd w:val="clear" w:color="auto" w:fill="auto"/>
            <w:vAlign w:val="center"/>
          </w:tcPr>
          <w:p w:rsidR="00886B3B" w:rsidRPr="00886B3B" w:rsidRDefault="00886B3B" w:rsidP="00886B3B">
            <w:pPr>
              <w:spacing w:line="240" w:lineRule="auto"/>
              <w:rPr>
                <w:rFonts w:ascii="Arial" w:eastAsia="Times New Roman" w:hAnsi="Arial"/>
                <w:sz w:val="20"/>
                <w:szCs w:val="20"/>
                <w:lang w:eastAsia="en-GB"/>
              </w:rPr>
            </w:pPr>
          </w:p>
          <w:p w:rsidR="00886B3B" w:rsidRPr="00886B3B" w:rsidRDefault="00391FD9" w:rsidP="00886B3B">
            <w:pPr>
              <w:spacing w:line="240" w:lineRule="auto"/>
              <w:rPr>
                <w:rFonts w:ascii="Arial" w:eastAsia="Times New Roman" w:hAnsi="Arial"/>
                <w:sz w:val="20"/>
                <w:szCs w:val="20"/>
                <w:lang w:eastAsia="en-GB"/>
              </w:rPr>
            </w:pPr>
            <w:r>
              <w:rPr>
                <w:rFonts w:ascii="Arial" w:eastAsia="Times New Roman" w:hAnsi="Arial"/>
                <w:sz w:val="20"/>
                <w:szCs w:val="20"/>
                <w:lang w:eastAsia="en-GB"/>
              </w:rPr>
              <w:t>B2 Percentage of unplanned/</w:t>
            </w:r>
            <w:r w:rsidR="00886B3B" w:rsidRPr="00886B3B">
              <w:rPr>
                <w:rFonts w:ascii="Arial" w:eastAsia="Times New Roman" w:hAnsi="Arial"/>
                <w:sz w:val="20"/>
                <w:szCs w:val="20"/>
                <w:lang w:eastAsia="en-GB"/>
              </w:rPr>
              <w:t xml:space="preserve"> activity during the year</w:t>
            </w:r>
          </w:p>
          <w:p w:rsidR="00886B3B" w:rsidRPr="00886B3B" w:rsidRDefault="00886B3B" w:rsidP="00886B3B">
            <w:pPr>
              <w:spacing w:line="240" w:lineRule="auto"/>
              <w:rPr>
                <w:rFonts w:ascii="Arial" w:eastAsia="Times New Roman" w:hAnsi="Arial"/>
                <w:sz w:val="20"/>
                <w:szCs w:val="20"/>
                <w:lang w:eastAsia="en-GB"/>
              </w:rPr>
            </w:pPr>
          </w:p>
        </w:tc>
        <w:tc>
          <w:tcPr>
            <w:tcW w:w="992" w:type="dxa"/>
            <w:shd w:val="clear" w:color="auto" w:fill="auto"/>
            <w:vAlign w:val="center"/>
          </w:tcPr>
          <w:p w:rsidR="00886B3B" w:rsidRPr="00886B3B" w:rsidRDefault="00886B3B" w:rsidP="00886B3B">
            <w:pPr>
              <w:spacing w:line="240" w:lineRule="auto"/>
              <w:jc w:val="center"/>
              <w:rPr>
                <w:rFonts w:ascii="Arial" w:eastAsia="Times New Roman" w:hAnsi="Arial"/>
                <w:sz w:val="20"/>
                <w:szCs w:val="20"/>
                <w:lang w:eastAsia="en-GB"/>
              </w:rPr>
            </w:pPr>
            <w:r w:rsidRPr="00886B3B">
              <w:rPr>
                <w:rFonts w:ascii="Arial" w:eastAsia="Times New Roman" w:hAnsi="Arial"/>
                <w:sz w:val="20"/>
                <w:szCs w:val="20"/>
                <w:lang w:eastAsia="en-GB"/>
              </w:rPr>
              <w:t>25%</w:t>
            </w:r>
          </w:p>
        </w:tc>
        <w:tc>
          <w:tcPr>
            <w:tcW w:w="1134" w:type="dxa"/>
          </w:tcPr>
          <w:p w:rsidR="00391FD9" w:rsidRDefault="00391FD9" w:rsidP="00886B3B">
            <w:pPr>
              <w:spacing w:line="240" w:lineRule="auto"/>
              <w:jc w:val="center"/>
              <w:rPr>
                <w:rFonts w:ascii="Arial" w:eastAsia="Times New Roman" w:hAnsi="Arial"/>
                <w:sz w:val="20"/>
                <w:szCs w:val="20"/>
                <w:lang w:eastAsia="en-GB"/>
              </w:rPr>
            </w:pPr>
          </w:p>
          <w:p w:rsidR="00886B3B" w:rsidRPr="00391FD9" w:rsidRDefault="00391FD9" w:rsidP="00886B3B">
            <w:pPr>
              <w:spacing w:line="240" w:lineRule="auto"/>
              <w:jc w:val="center"/>
              <w:rPr>
                <w:rFonts w:ascii="Arial" w:eastAsia="Times New Roman" w:hAnsi="Arial"/>
                <w:sz w:val="20"/>
                <w:szCs w:val="20"/>
                <w:lang w:eastAsia="en-GB"/>
              </w:rPr>
            </w:pPr>
            <w:r>
              <w:rPr>
                <w:rFonts w:ascii="Arial" w:eastAsia="Times New Roman" w:hAnsi="Arial"/>
                <w:sz w:val="20"/>
                <w:szCs w:val="20"/>
                <w:lang w:eastAsia="en-GB"/>
              </w:rPr>
              <w:t>55.58</w:t>
            </w:r>
            <w:r w:rsidRPr="00391FD9">
              <w:rPr>
                <w:rFonts w:ascii="Arial" w:eastAsia="Times New Roman" w:hAnsi="Arial"/>
                <w:sz w:val="20"/>
                <w:szCs w:val="20"/>
                <w:lang w:eastAsia="en-GB"/>
              </w:rPr>
              <w:t>%</w:t>
            </w:r>
          </w:p>
          <w:p w:rsidR="00886B3B" w:rsidRPr="00391FD9" w:rsidRDefault="00FC0889" w:rsidP="00886B3B">
            <w:pPr>
              <w:spacing w:line="240" w:lineRule="auto"/>
              <w:jc w:val="center"/>
              <w:rPr>
                <w:rFonts w:ascii="Arial" w:eastAsia="Times New Roman" w:hAnsi="Arial"/>
                <w:sz w:val="20"/>
                <w:szCs w:val="20"/>
                <w:lang w:eastAsia="en-GB"/>
              </w:rPr>
            </w:pPr>
            <w:r w:rsidRPr="00391FD9">
              <w:rPr>
                <w:rFonts w:ascii="Arial" w:eastAsia="Times New Roman" w:hAnsi="Arial"/>
                <w:sz w:val="20"/>
                <w:szCs w:val="20"/>
                <w:lang w:eastAsia="en-GB"/>
              </w:rPr>
              <w:t>(</w:t>
            </w:r>
            <w:r w:rsidR="00886B3B" w:rsidRPr="00391FD9">
              <w:rPr>
                <w:rFonts w:ascii="Arial" w:eastAsia="Times New Roman" w:hAnsi="Arial"/>
                <w:sz w:val="20"/>
                <w:szCs w:val="20"/>
                <w:lang w:eastAsia="en-GB"/>
              </w:rPr>
              <w:t>39.18%</w:t>
            </w:r>
            <w:r w:rsidRPr="00391FD9">
              <w:rPr>
                <w:rFonts w:ascii="Arial" w:eastAsia="Times New Roman" w:hAnsi="Arial"/>
                <w:sz w:val="20"/>
                <w:szCs w:val="20"/>
                <w:lang w:eastAsia="en-GB"/>
              </w:rPr>
              <w:t>)</w:t>
            </w:r>
          </w:p>
          <w:p w:rsidR="00886B3B" w:rsidRPr="00A32127" w:rsidRDefault="00886B3B" w:rsidP="00886B3B">
            <w:pPr>
              <w:spacing w:line="240" w:lineRule="auto"/>
              <w:jc w:val="center"/>
              <w:rPr>
                <w:rFonts w:ascii="Arial" w:eastAsia="Times New Roman" w:hAnsi="Arial"/>
                <w:color w:val="FF0000"/>
                <w:sz w:val="20"/>
                <w:szCs w:val="20"/>
                <w:lang w:eastAsia="en-GB"/>
              </w:rPr>
            </w:pPr>
          </w:p>
          <w:p w:rsidR="00886B3B" w:rsidRPr="00A32127" w:rsidRDefault="00886B3B" w:rsidP="00886B3B">
            <w:pPr>
              <w:spacing w:line="240" w:lineRule="auto"/>
              <w:jc w:val="center"/>
              <w:rPr>
                <w:rFonts w:ascii="Arial" w:eastAsia="Times New Roman" w:hAnsi="Arial"/>
                <w:color w:val="FF0000"/>
                <w:sz w:val="20"/>
                <w:szCs w:val="20"/>
                <w:lang w:eastAsia="en-GB"/>
              </w:rPr>
            </w:pPr>
          </w:p>
        </w:tc>
        <w:tc>
          <w:tcPr>
            <w:tcW w:w="6208" w:type="dxa"/>
            <w:shd w:val="clear" w:color="auto" w:fill="auto"/>
            <w:vAlign w:val="center"/>
          </w:tcPr>
          <w:p w:rsidR="00886B3B" w:rsidRPr="00886B3B" w:rsidRDefault="00886B3B" w:rsidP="00886B3B">
            <w:pPr>
              <w:spacing w:line="240" w:lineRule="auto"/>
              <w:rPr>
                <w:rFonts w:ascii="Arial" w:eastAsia="Times New Roman" w:hAnsi="Arial"/>
                <w:sz w:val="20"/>
                <w:szCs w:val="20"/>
                <w:lang w:eastAsia="en-GB"/>
              </w:rPr>
            </w:pPr>
            <w:r w:rsidRPr="00886B3B">
              <w:rPr>
                <w:rFonts w:ascii="Arial" w:eastAsia="Times New Roman" w:hAnsi="Arial"/>
                <w:sz w:val="20"/>
                <w:szCs w:val="20"/>
                <w:lang w:eastAsia="en-GB"/>
              </w:rPr>
              <w:t xml:space="preserve">Measure to try and keep unplanned to a minimum </w:t>
            </w:r>
          </w:p>
          <w:p w:rsidR="00886B3B" w:rsidRPr="00886B3B" w:rsidRDefault="00886B3B" w:rsidP="00391FD9">
            <w:pPr>
              <w:spacing w:line="240" w:lineRule="auto"/>
              <w:rPr>
                <w:rFonts w:ascii="Arial" w:eastAsia="Times New Roman" w:hAnsi="Arial"/>
                <w:i/>
                <w:sz w:val="20"/>
                <w:szCs w:val="20"/>
                <w:lang w:eastAsia="en-GB"/>
              </w:rPr>
            </w:pPr>
            <w:r w:rsidRPr="00886B3B">
              <w:rPr>
                <w:rFonts w:ascii="Arial" w:eastAsia="Times New Roman" w:hAnsi="Arial"/>
                <w:i/>
                <w:sz w:val="20"/>
                <w:szCs w:val="20"/>
                <w:lang w:eastAsia="en-GB"/>
              </w:rPr>
              <w:t>Percentage affected by overall increase in workload</w:t>
            </w:r>
            <w:r w:rsidR="00391FD9">
              <w:rPr>
                <w:rFonts w:ascii="Arial" w:eastAsia="Times New Roman" w:hAnsi="Arial"/>
                <w:i/>
                <w:sz w:val="20"/>
                <w:szCs w:val="20"/>
                <w:lang w:eastAsia="en-GB"/>
              </w:rPr>
              <w:t xml:space="preserve"> mentioned above 200 18/19, 342 </w:t>
            </w:r>
            <w:r w:rsidRPr="00886B3B">
              <w:rPr>
                <w:rFonts w:ascii="Arial" w:eastAsia="Times New Roman" w:hAnsi="Arial"/>
                <w:i/>
                <w:sz w:val="20"/>
                <w:szCs w:val="20"/>
                <w:lang w:eastAsia="en-GB"/>
              </w:rPr>
              <w:t>19</w:t>
            </w:r>
            <w:r w:rsidR="00391FD9">
              <w:rPr>
                <w:rFonts w:ascii="Arial" w:eastAsia="Times New Roman" w:hAnsi="Arial"/>
                <w:i/>
                <w:sz w:val="20"/>
                <w:szCs w:val="20"/>
                <w:lang w:eastAsia="en-GB"/>
              </w:rPr>
              <w:t xml:space="preserve">/20 to 412 20/21.  </w:t>
            </w:r>
            <w:r w:rsidR="00E8164E">
              <w:rPr>
                <w:rFonts w:ascii="Arial" w:eastAsia="Times New Roman" w:hAnsi="Arial"/>
                <w:i/>
                <w:sz w:val="20"/>
                <w:szCs w:val="20"/>
                <w:lang w:eastAsia="en-GB"/>
              </w:rPr>
              <w:t>Much of the unplanned work was around emergency requirements during the pandemic.</w:t>
            </w:r>
          </w:p>
        </w:tc>
      </w:tr>
    </w:tbl>
    <w:p w:rsidR="00886B3B" w:rsidRPr="00886B3B" w:rsidRDefault="00886B3B" w:rsidP="00886B3B">
      <w:pPr>
        <w:rPr>
          <w:rFonts w:ascii="Arial" w:hAnsi="Arial"/>
        </w:rPr>
      </w:pPr>
    </w:p>
    <w:p w:rsidR="00886B3B" w:rsidRPr="00886B3B" w:rsidRDefault="00886B3B" w:rsidP="00886B3B">
      <w:pPr>
        <w:autoSpaceDE w:val="0"/>
        <w:autoSpaceDN w:val="0"/>
        <w:adjustRightInd w:val="0"/>
        <w:spacing w:line="240" w:lineRule="auto"/>
        <w:rPr>
          <w:rFonts w:ascii="Arial" w:hAnsi="Arial"/>
          <w:color w:val="000000"/>
        </w:rPr>
      </w:pPr>
    </w:p>
    <w:p w:rsidR="00886B3B" w:rsidRPr="00886B3B" w:rsidRDefault="00886B3B" w:rsidP="00886B3B">
      <w:pPr>
        <w:autoSpaceDE w:val="0"/>
        <w:autoSpaceDN w:val="0"/>
        <w:adjustRightInd w:val="0"/>
        <w:spacing w:line="240" w:lineRule="auto"/>
        <w:rPr>
          <w:rFonts w:ascii="Arial" w:hAnsi="Arial"/>
          <w:color w:val="000000"/>
        </w:rPr>
      </w:pPr>
    </w:p>
    <w:p w:rsidR="00886B3B" w:rsidRPr="00886B3B" w:rsidRDefault="00886B3B" w:rsidP="00886B3B">
      <w:pPr>
        <w:numPr>
          <w:ilvl w:val="0"/>
          <w:numId w:val="1"/>
        </w:numPr>
        <w:autoSpaceDE w:val="0"/>
        <w:autoSpaceDN w:val="0"/>
        <w:adjustRightInd w:val="0"/>
        <w:spacing w:after="200" w:line="240" w:lineRule="auto"/>
        <w:ind w:hanging="720"/>
        <w:contextualSpacing/>
        <w:rPr>
          <w:rFonts w:ascii="Arial" w:hAnsi="Arial"/>
          <w:color w:val="000000"/>
        </w:rPr>
      </w:pPr>
      <w:r w:rsidRPr="00886B3B">
        <w:rPr>
          <w:rFonts w:ascii="Arial" w:hAnsi="Arial"/>
          <w:b/>
          <w:bCs/>
          <w:color w:val="000000"/>
        </w:rPr>
        <w:t xml:space="preserve">Compliance </w:t>
      </w:r>
    </w:p>
    <w:p w:rsidR="00886B3B" w:rsidRPr="00886B3B" w:rsidRDefault="00886B3B" w:rsidP="00886B3B">
      <w:pPr>
        <w:autoSpaceDE w:val="0"/>
        <w:autoSpaceDN w:val="0"/>
        <w:adjustRightInd w:val="0"/>
        <w:spacing w:line="240" w:lineRule="auto"/>
        <w:contextualSpacing/>
        <w:rPr>
          <w:rFonts w:ascii="Arial" w:hAnsi="Arial"/>
          <w:b/>
          <w:bCs/>
          <w:color w:val="000000"/>
        </w:rPr>
      </w:pPr>
    </w:p>
    <w:tbl>
      <w:tblPr>
        <w:tblW w:w="141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9"/>
        <w:gridCol w:w="993"/>
        <w:gridCol w:w="1358"/>
        <w:gridCol w:w="6350"/>
      </w:tblGrid>
      <w:tr w:rsidR="00886B3B" w:rsidRPr="00886B3B" w:rsidTr="00FC0889">
        <w:trPr>
          <w:trHeight w:val="538"/>
        </w:trPr>
        <w:tc>
          <w:tcPr>
            <w:tcW w:w="5489" w:type="dxa"/>
            <w:shd w:val="clear" w:color="auto" w:fill="DBE5F1" w:themeFill="accent1" w:themeFillTint="33"/>
            <w:vAlign w:val="center"/>
            <w:hideMark/>
          </w:tcPr>
          <w:p w:rsidR="00886B3B" w:rsidRPr="00886B3B" w:rsidRDefault="00886B3B" w:rsidP="00886B3B">
            <w:pPr>
              <w:spacing w:line="240" w:lineRule="auto"/>
              <w:jc w:val="center"/>
              <w:rPr>
                <w:rFonts w:ascii="Arial" w:eastAsia="Times New Roman" w:hAnsi="Arial"/>
                <w:b/>
                <w:bCs/>
                <w:sz w:val="20"/>
                <w:szCs w:val="20"/>
                <w:lang w:eastAsia="en-GB"/>
              </w:rPr>
            </w:pPr>
            <w:r w:rsidRPr="00886B3B">
              <w:rPr>
                <w:rFonts w:ascii="Arial" w:eastAsia="Times New Roman" w:hAnsi="Arial"/>
                <w:b/>
                <w:bCs/>
                <w:sz w:val="20"/>
                <w:szCs w:val="20"/>
                <w:lang w:eastAsia="en-GB"/>
              </w:rPr>
              <w:t>The measure</w:t>
            </w:r>
          </w:p>
        </w:tc>
        <w:tc>
          <w:tcPr>
            <w:tcW w:w="993" w:type="dxa"/>
            <w:shd w:val="clear" w:color="auto" w:fill="DBE5F1" w:themeFill="accent1" w:themeFillTint="33"/>
            <w:noWrap/>
            <w:vAlign w:val="bottom"/>
            <w:hideMark/>
          </w:tcPr>
          <w:p w:rsidR="00886B3B" w:rsidRPr="00886B3B" w:rsidRDefault="00886B3B" w:rsidP="00886B3B">
            <w:pPr>
              <w:spacing w:line="240" w:lineRule="auto"/>
              <w:jc w:val="center"/>
              <w:rPr>
                <w:rFonts w:ascii="Arial" w:eastAsia="Times New Roman" w:hAnsi="Arial"/>
                <w:b/>
                <w:bCs/>
                <w:sz w:val="20"/>
                <w:szCs w:val="20"/>
                <w:lang w:eastAsia="en-GB"/>
              </w:rPr>
            </w:pPr>
            <w:r w:rsidRPr="00886B3B">
              <w:rPr>
                <w:rFonts w:ascii="Arial" w:eastAsia="Times New Roman" w:hAnsi="Arial"/>
                <w:b/>
                <w:bCs/>
                <w:sz w:val="20"/>
                <w:szCs w:val="20"/>
                <w:lang w:eastAsia="en-GB"/>
              </w:rPr>
              <w:t>2018/19</w:t>
            </w:r>
          </w:p>
          <w:p w:rsidR="00886B3B" w:rsidRPr="00886B3B" w:rsidRDefault="00886B3B" w:rsidP="00886B3B">
            <w:pPr>
              <w:spacing w:line="240" w:lineRule="auto"/>
              <w:jc w:val="center"/>
              <w:rPr>
                <w:rFonts w:ascii="Arial" w:eastAsia="Times New Roman" w:hAnsi="Arial"/>
                <w:b/>
                <w:bCs/>
                <w:sz w:val="20"/>
                <w:szCs w:val="20"/>
                <w:lang w:eastAsia="en-GB"/>
              </w:rPr>
            </w:pPr>
            <w:r w:rsidRPr="00886B3B">
              <w:rPr>
                <w:rFonts w:ascii="Arial" w:eastAsia="Times New Roman" w:hAnsi="Arial"/>
                <w:b/>
                <w:bCs/>
                <w:sz w:val="20"/>
                <w:szCs w:val="20"/>
                <w:lang w:eastAsia="en-GB"/>
              </w:rPr>
              <w:t>Target</w:t>
            </w:r>
          </w:p>
        </w:tc>
        <w:tc>
          <w:tcPr>
            <w:tcW w:w="1358" w:type="dxa"/>
            <w:shd w:val="clear" w:color="auto" w:fill="DBE5F1" w:themeFill="accent1" w:themeFillTint="33"/>
          </w:tcPr>
          <w:p w:rsidR="00886B3B" w:rsidRPr="00886B3B" w:rsidRDefault="00FC0889" w:rsidP="00886B3B">
            <w:pPr>
              <w:spacing w:line="240" w:lineRule="auto"/>
              <w:jc w:val="center"/>
              <w:rPr>
                <w:rFonts w:ascii="Arial" w:eastAsia="Times New Roman" w:hAnsi="Arial"/>
                <w:b/>
                <w:bCs/>
                <w:sz w:val="20"/>
                <w:szCs w:val="20"/>
                <w:lang w:eastAsia="en-GB"/>
              </w:rPr>
            </w:pPr>
            <w:r>
              <w:rPr>
                <w:rFonts w:ascii="Arial" w:eastAsia="Times New Roman" w:hAnsi="Arial"/>
                <w:b/>
                <w:bCs/>
                <w:sz w:val="20"/>
                <w:szCs w:val="20"/>
                <w:lang w:eastAsia="en-GB"/>
              </w:rPr>
              <w:t>2020/21</w:t>
            </w:r>
          </w:p>
          <w:p w:rsidR="00886B3B" w:rsidRPr="00886B3B" w:rsidRDefault="00FC0889" w:rsidP="00886B3B">
            <w:pPr>
              <w:spacing w:line="240" w:lineRule="auto"/>
              <w:jc w:val="center"/>
              <w:rPr>
                <w:rFonts w:ascii="Arial" w:eastAsia="Times New Roman" w:hAnsi="Arial"/>
                <w:b/>
                <w:bCs/>
                <w:sz w:val="20"/>
                <w:szCs w:val="20"/>
                <w:lang w:eastAsia="en-GB"/>
              </w:rPr>
            </w:pPr>
            <w:r>
              <w:rPr>
                <w:rFonts w:ascii="Arial" w:eastAsia="Times New Roman" w:hAnsi="Arial"/>
                <w:b/>
                <w:bCs/>
                <w:sz w:val="20"/>
                <w:szCs w:val="20"/>
                <w:lang w:eastAsia="en-GB"/>
              </w:rPr>
              <w:t>(2019/20)</w:t>
            </w:r>
          </w:p>
          <w:p w:rsidR="00886B3B" w:rsidRPr="00886B3B" w:rsidRDefault="00886B3B" w:rsidP="00886B3B">
            <w:pPr>
              <w:spacing w:line="240" w:lineRule="auto"/>
              <w:jc w:val="center"/>
              <w:rPr>
                <w:rFonts w:ascii="Arial" w:eastAsia="Times New Roman" w:hAnsi="Arial"/>
                <w:b/>
                <w:bCs/>
                <w:sz w:val="20"/>
                <w:szCs w:val="20"/>
                <w:lang w:eastAsia="en-GB"/>
              </w:rPr>
            </w:pPr>
            <w:r w:rsidRPr="00886B3B">
              <w:rPr>
                <w:rFonts w:ascii="Arial" w:eastAsia="Times New Roman" w:hAnsi="Arial"/>
                <w:b/>
                <w:bCs/>
                <w:sz w:val="20"/>
                <w:szCs w:val="20"/>
                <w:lang w:eastAsia="en-GB"/>
              </w:rPr>
              <w:t>Results</w:t>
            </w:r>
          </w:p>
        </w:tc>
        <w:tc>
          <w:tcPr>
            <w:tcW w:w="6350" w:type="dxa"/>
            <w:shd w:val="clear" w:color="auto" w:fill="DBE5F1" w:themeFill="accent1" w:themeFillTint="33"/>
            <w:noWrap/>
            <w:vAlign w:val="bottom"/>
            <w:hideMark/>
          </w:tcPr>
          <w:p w:rsidR="00886B3B" w:rsidRPr="00886B3B" w:rsidRDefault="00886B3B" w:rsidP="00886B3B">
            <w:pPr>
              <w:spacing w:line="240" w:lineRule="auto"/>
              <w:jc w:val="center"/>
              <w:rPr>
                <w:rFonts w:ascii="Arial" w:eastAsia="Times New Roman" w:hAnsi="Arial"/>
                <w:b/>
                <w:bCs/>
                <w:sz w:val="20"/>
                <w:szCs w:val="20"/>
                <w:lang w:eastAsia="en-GB"/>
              </w:rPr>
            </w:pPr>
            <w:r w:rsidRPr="00886B3B">
              <w:rPr>
                <w:rFonts w:ascii="Arial" w:eastAsia="Times New Roman" w:hAnsi="Arial"/>
                <w:b/>
                <w:bCs/>
                <w:sz w:val="20"/>
                <w:szCs w:val="20"/>
                <w:lang w:eastAsia="en-GB"/>
              </w:rPr>
              <w:t xml:space="preserve">Will  </w:t>
            </w:r>
          </w:p>
          <w:p w:rsidR="00886B3B" w:rsidRPr="00886B3B" w:rsidRDefault="00886B3B" w:rsidP="00886B3B">
            <w:pPr>
              <w:spacing w:line="240" w:lineRule="auto"/>
              <w:jc w:val="center"/>
              <w:rPr>
                <w:rFonts w:ascii="Arial" w:eastAsia="Times New Roman" w:hAnsi="Arial"/>
                <w:b/>
                <w:bCs/>
                <w:sz w:val="20"/>
                <w:szCs w:val="20"/>
                <w:lang w:eastAsia="en-GB"/>
              </w:rPr>
            </w:pPr>
            <w:r w:rsidRPr="00886B3B">
              <w:rPr>
                <w:rFonts w:ascii="Arial" w:eastAsia="Times New Roman" w:hAnsi="Arial"/>
                <w:b/>
                <w:bCs/>
                <w:sz w:val="20"/>
                <w:szCs w:val="20"/>
                <w:lang w:eastAsia="en-GB"/>
              </w:rPr>
              <w:t>Demonstrate</w:t>
            </w:r>
          </w:p>
          <w:p w:rsidR="00886B3B" w:rsidRPr="00886B3B" w:rsidRDefault="00886B3B" w:rsidP="00886B3B">
            <w:pPr>
              <w:spacing w:line="240" w:lineRule="auto"/>
              <w:jc w:val="center"/>
              <w:rPr>
                <w:rFonts w:ascii="Arial" w:eastAsia="Times New Roman" w:hAnsi="Arial"/>
                <w:b/>
                <w:bCs/>
                <w:i/>
                <w:sz w:val="20"/>
                <w:szCs w:val="20"/>
                <w:lang w:eastAsia="en-GB"/>
              </w:rPr>
            </w:pPr>
            <w:r w:rsidRPr="00886B3B">
              <w:rPr>
                <w:rFonts w:ascii="Arial" w:eastAsia="Times New Roman" w:hAnsi="Arial"/>
                <w:b/>
                <w:bCs/>
                <w:i/>
                <w:sz w:val="20"/>
                <w:szCs w:val="20"/>
                <w:lang w:eastAsia="en-GB"/>
              </w:rPr>
              <w:t>Comments</w:t>
            </w:r>
          </w:p>
        </w:tc>
      </w:tr>
      <w:tr w:rsidR="00886B3B" w:rsidRPr="00886B3B" w:rsidTr="00FC0889">
        <w:trPr>
          <w:trHeight w:val="392"/>
        </w:trPr>
        <w:tc>
          <w:tcPr>
            <w:tcW w:w="5489" w:type="dxa"/>
            <w:shd w:val="clear" w:color="auto" w:fill="auto"/>
            <w:vAlign w:val="center"/>
          </w:tcPr>
          <w:p w:rsidR="00886B3B" w:rsidRPr="00886B3B" w:rsidRDefault="00886B3B" w:rsidP="00886B3B">
            <w:pPr>
              <w:spacing w:line="240" w:lineRule="auto"/>
              <w:rPr>
                <w:rFonts w:ascii="Arial" w:eastAsia="Times New Roman" w:hAnsi="Arial"/>
                <w:sz w:val="20"/>
                <w:szCs w:val="20"/>
                <w:lang w:eastAsia="en-GB"/>
              </w:rPr>
            </w:pPr>
          </w:p>
          <w:p w:rsidR="00886B3B" w:rsidRPr="00886B3B" w:rsidRDefault="00886B3B" w:rsidP="00886B3B">
            <w:pPr>
              <w:spacing w:line="240" w:lineRule="auto"/>
              <w:rPr>
                <w:rFonts w:ascii="Arial" w:eastAsia="Times New Roman" w:hAnsi="Arial"/>
                <w:sz w:val="20"/>
                <w:szCs w:val="20"/>
                <w:lang w:eastAsia="en-GB"/>
              </w:rPr>
            </w:pPr>
            <w:r w:rsidRPr="00886B3B">
              <w:rPr>
                <w:rFonts w:ascii="Arial" w:eastAsia="Times New Roman" w:hAnsi="Arial"/>
                <w:sz w:val="20"/>
                <w:szCs w:val="20"/>
                <w:lang w:eastAsia="en-GB"/>
              </w:rPr>
              <w:t>C3 Percentage of Account Payable transactions with a Purchase Order (where relevant ie non-recurring) number during year</w:t>
            </w:r>
          </w:p>
        </w:tc>
        <w:tc>
          <w:tcPr>
            <w:tcW w:w="993" w:type="dxa"/>
            <w:shd w:val="clear" w:color="auto" w:fill="auto"/>
            <w:vAlign w:val="center"/>
          </w:tcPr>
          <w:p w:rsidR="00886B3B" w:rsidRPr="00886B3B" w:rsidRDefault="00886B3B" w:rsidP="00886B3B">
            <w:pPr>
              <w:spacing w:line="240" w:lineRule="auto"/>
              <w:jc w:val="center"/>
              <w:rPr>
                <w:rFonts w:ascii="Arial" w:eastAsia="Times New Roman" w:hAnsi="Arial"/>
                <w:sz w:val="20"/>
                <w:szCs w:val="20"/>
                <w:lang w:eastAsia="en-GB"/>
              </w:rPr>
            </w:pPr>
            <w:r w:rsidRPr="00886B3B">
              <w:rPr>
                <w:rFonts w:ascii="Arial" w:eastAsia="Times New Roman" w:hAnsi="Arial"/>
                <w:sz w:val="20"/>
                <w:szCs w:val="20"/>
                <w:lang w:eastAsia="en-GB"/>
              </w:rPr>
              <w:t>75%%</w:t>
            </w:r>
          </w:p>
        </w:tc>
        <w:tc>
          <w:tcPr>
            <w:tcW w:w="1358" w:type="dxa"/>
          </w:tcPr>
          <w:p w:rsidR="00FC0889" w:rsidRDefault="00FC0889" w:rsidP="00886B3B">
            <w:pPr>
              <w:spacing w:line="240" w:lineRule="auto"/>
              <w:jc w:val="center"/>
              <w:rPr>
                <w:rFonts w:ascii="Arial" w:eastAsia="Times New Roman" w:hAnsi="Arial"/>
                <w:color w:val="FF0000"/>
                <w:sz w:val="20"/>
                <w:szCs w:val="20"/>
                <w:lang w:eastAsia="en-GB"/>
              </w:rPr>
            </w:pPr>
          </w:p>
          <w:p w:rsidR="00886B3B" w:rsidRPr="00FC0889" w:rsidRDefault="00FC0889" w:rsidP="00886B3B">
            <w:pPr>
              <w:spacing w:line="240" w:lineRule="auto"/>
              <w:jc w:val="center"/>
              <w:rPr>
                <w:rFonts w:ascii="Arial" w:eastAsia="Times New Roman" w:hAnsi="Arial"/>
                <w:sz w:val="20"/>
                <w:szCs w:val="20"/>
                <w:lang w:eastAsia="en-GB"/>
              </w:rPr>
            </w:pPr>
            <w:r w:rsidRPr="00FC0889">
              <w:rPr>
                <w:rFonts w:ascii="Arial" w:eastAsia="Times New Roman" w:hAnsi="Arial"/>
                <w:sz w:val="20"/>
                <w:szCs w:val="20"/>
                <w:lang w:eastAsia="en-GB"/>
              </w:rPr>
              <w:t>74.49%</w:t>
            </w:r>
          </w:p>
          <w:p w:rsidR="00886B3B" w:rsidRPr="00FC0889" w:rsidRDefault="00FC0889" w:rsidP="00886B3B">
            <w:pPr>
              <w:spacing w:line="240" w:lineRule="auto"/>
              <w:jc w:val="center"/>
              <w:rPr>
                <w:rFonts w:ascii="Arial" w:eastAsia="Times New Roman" w:hAnsi="Arial"/>
                <w:sz w:val="20"/>
                <w:szCs w:val="20"/>
                <w:lang w:eastAsia="en-GB"/>
              </w:rPr>
            </w:pPr>
            <w:r w:rsidRPr="00FC0889">
              <w:rPr>
                <w:rFonts w:ascii="Arial" w:eastAsia="Times New Roman" w:hAnsi="Arial"/>
                <w:sz w:val="20"/>
                <w:szCs w:val="20"/>
                <w:lang w:eastAsia="en-GB"/>
              </w:rPr>
              <w:t>(</w:t>
            </w:r>
            <w:r w:rsidR="00886B3B" w:rsidRPr="00FC0889">
              <w:rPr>
                <w:rFonts w:ascii="Arial" w:eastAsia="Times New Roman" w:hAnsi="Arial"/>
                <w:sz w:val="20"/>
                <w:szCs w:val="20"/>
                <w:lang w:eastAsia="en-GB"/>
              </w:rPr>
              <w:t>76.83%</w:t>
            </w:r>
            <w:r w:rsidRPr="00FC0889">
              <w:rPr>
                <w:rFonts w:ascii="Arial" w:eastAsia="Times New Roman" w:hAnsi="Arial"/>
                <w:sz w:val="20"/>
                <w:szCs w:val="20"/>
                <w:lang w:eastAsia="en-GB"/>
              </w:rPr>
              <w:t>)</w:t>
            </w:r>
          </w:p>
          <w:p w:rsidR="00886B3B" w:rsidRPr="00A32127" w:rsidRDefault="00886B3B" w:rsidP="00FC0889">
            <w:pPr>
              <w:spacing w:line="240" w:lineRule="auto"/>
              <w:rPr>
                <w:rFonts w:ascii="Arial" w:eastAsia="Times New Roman" w:hAnsi="Arial"/>
                <w:color w:val="FF0000"/>
                <w:sz w:val="20"/>
                <w:szCs w:val="20"/>
                <w:lang w:eastAsia="en-GB"/>
              </w:rPr>
            </w:pPr>
          </w:p>
          <w:p w:rsidR="00886B3B" w:rsidRPr="00A32127" w:rsidRDefault="00886B3B" w:rsidP="00886B3B">
            <w:pPr>
              <w:spacing w:line="240" w:lineRule="auto"/>
              <w:jc w:val="center"/>
              <w:rPr>
                <w:rFonts w:ascii="Arial" w:eastAsia="Times New Roman" w:hAnsi="Arial"/>
                <w:color w:val="FF0000"/>
                <w:sz w:val="20"/>
                <w:szCs w:val="20"/>
                <w:lang w:eastAsia="en-GB"/>
              </w:rPr>
            </w:pPr>
          </w:p>
        </w:tc>
        <w:tc>
          <w:tcPr>
            <w:tcW w:w="6350" w:type="dxa"/>
            <w:shd w:val="clear" w:color="auto" w:fill="auto"/>
            <w:vAlign w:val="center"/>
          </w:tcPr>
          <w:p w:rsidR="00886B3B" w:rsidRPr="00886B3B" w:rsidRDefault="00886B3B" w:rsidP="00886B3B">
            <w:pPr>
              <w:spacing w:line="240" w:lineRule="auto"/>
              <w:rPr>
                <w:rFonts w:ascii="Arial" w:eastAsia="Times New Roman" w:hAnsi="Arial"/>
                <w:sz w:val="20"/>
                <w:szCs w:val="20"/>
                <w:lang w:eastAsia="en-GB"/>
              </w:rPr>
            </w:pPr>
            <w:r w:rsidRPr="00886B3B">
              <w:rPr>
                <w:rFonts w:ascii="Arial" w:eastAsia="Times New Roman" w:hAnsi="Arial"/>
                <w:sz w:val="20"/>
                <w:szCs w:val="20"/>
                <w:lang w:eastAsia="en-GB"/>
              </w:rPr>
              <w:t xml:space="preserve">Compliance management </w:t>
            </w:r>
          </w:p>
          <w:p w:rsidR="00886B3B" w:rsidRPr="00886B3B" w:rsidRDefault="00886B3B" w:rsidP="00886B3B">
            <w:pPr>
              <w:spacing w:line="240" w:lineRule="auto"/>
              <w:rPr>
                <w:rFonts w:ascii="Arial" w:eastAsia="Times New Roman" w:hAnsi="Arial"/>
                <w:i/>
                <w:sz w:val="20"/>
                <w:szCs w:val="20"/>
                <w:lang w:eastAsia="en-GB"/>
              </w:rPr>
            </w:pPr>
          </w:p>
        </w:tc>
      </w:tr>
    </w:tbl>
    <w:p w:rsidR="00886B3B" w:rsidRDefault="00886B3B" w:rsidP="00886B3B">
      <w:pPr>
        <w:autoSpaceDE w:val="0"/>
        <w:autoSpaceDN w:val="0"/>
        <w:adjustRightInd w:val="0"/>
        <w:spacing w:after="200" w:line="240" w:lineRule="auto"/>
        <w:contextualSpacing/>
        <w:rPr>
          <w:rFonts w:ascii="Arial" w:hAnsi="Arial"/>
          <w:color w:val="000000"/>
        </w:rPr>
      </w:pPr>
    </w:p>
    <w:p w:rsidR="00886B3B" w:rsidRDefault="00886B3B" w:rsidP="00886B3B">
      <w:pPr>
        <w:autoSpaceDE w:val="0"/>
        <w:autoSpaceDN w:val="0"/>
        <w:adjustRightInd w:val="0"/>
        <w:spacing w:after="200" w:line="240" w:lineRule="auto"/>
        <w:contextualSpacing/>
        <w:rPr>
          <w:rFonts w:ascii="Arial" w:hAnsi="Arial"/>
          <w:color w:val="000000"/>
        </w:rPr>
      </w:pPr>
    </w:p>
    <w:p w:rsidR="00886B3B" w:rsidRPr="00886B3B" w:rsidRDefault="00886B3B" w:rsidP="00886B3B">
      <w:pPr>
        <w:numPr>
          <w:ilvl w:val="0"/>
          <w:numId w:val="1"/>
        </w:numPr>
        <w:autoSpaceDE w:val="0"/>
        <w:autoSpaceDN w:val="0"/>
        <w:adjustRightInd w:val="0"/>
        <w:spacing w:after="200" w:line="240" w:lineRule="auto"/>
        <w:ind w:left="709" w:hanging="709"/>
        <w:contextualSpacing/>
        <w:rPr>
          <w:rFonts w:ascii="Arial" w:hAnsi="Arial"/>
          <w:color w:val="000000"/>
        </w:rPr>
      </w:pPr>
      <w:r w:rsidRPr="00886B3B">
        <w:rPr>
          <w:rFonts w:ascii="Arial" w:hAnsi="Arial"/>
          <w:b/>
          <w:bCs/>
          <w:color w:val="000000"/>
        </w:rPr>
        <w:t xml:space="preserve">Accessibility </w:t>
      </w:r>
    </w:p>
    <w:p w:rsidR="00886B3B" w:rsidRPr="00886B3B" w:rsidRDefault="00886B3B" w:rsidP="00886B3B">
      <w:pPr>
        <w:autoSpaceDE w:val="0"/>
        <w:autoSpaceDN w:val="0"/>
        <w:adjustRightInd w:val="0"/>
        <w:spacing w:after="200" w:line="240" w:lineRule="auto"/>
        <w:ind w:left="709"/>
        <w:contextualSpacing/>
        <w:rPr>
          <w:rFonts w:ascii="Arial" w:hAnsi="Arial"/>
          <w:color w:val="000000"/>
        </w:rPr>
      </w:pPr>
    </w:p>
    <w:tbl>
      <w:tblPr>
        <w:tblW w:w="141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1"/>
        <w:gridCol w:w="992"/>
        <w:gridCol w:w="1417"/>
        <w:gridCol w:w="6350"/>
      </w:tblGrid>
      <w:tr w:rsidR="00886B3B" w:rsidRPr="00886B3B" w:rsidTr="00FC0889">
        <w:trPr>
          <w:trHeight w:val="538"/>
        </w:trPr>
        <w:tc>
          <w:tcPr>
            <w:tcW w:w="5431" w:type="dxa"/>
            <w:shd w:val="clear" w:color="000000" w:fill="C6D9F1" w:themeFill="text2" w:themeFillTint="33"/>
            <w:vAlign w:val="center"/>
            <w:hideMark/>
          </w:tcPr>
          <w:p w:rsidR="00886B3B" w:rsidRPr="00886B3B" w:rsidRDefault="00886B3B" w:rsidP="00886B3B">
            <w:pPr>
              <w:spacing w:line="240" w:lineRule="auto"/>
              <w:jc w:val="center"/>
              <w:rPr>
                <w:rFonts w:ascii="Arial" w:eastAsia="Times New Roman" w:hAnsi="Arial"/>
                <w:b/>
                <w:bCs/>
                <w:sz w:val="20"/>
                <w:szCs w:val="20"/>
                <w:lang w:eastAsia="en-GB"/>
              </w:rPr>
            </w:pPr>
            <w:r w:rsidRPr="00886B3B">
              <w:rPr>
                <w:rFonts w:ascii="Arial" w:eastAsia="Times New Roman" w:hAnsi="Arial"/>
                <w:b/>
                <w:bCs/>
                <w:sz w:val="20"/>
                <w:szCs w:val="20"/>
                <w:lang w:eastAsia="en-GB"/>
              </w:rPr>
              <w:t>The measure</w:t>
            </w:r>
          </w:p>
        </w:tc>
        <w:tc>
          <w:tcPr>
            <w:tcW w:w="992" w:type="dxa"/>
            <w:shd w:val="clear" w:color="000000" w:fill="C6D9F1" w:themeFill="text2" w:themeFillTint="33"/>
            <w:noWrap/>
            <w:vAlign w:val="bottom"/>
            <w:hideMark/>
          </w:tcPr>
          <w:p w:rsidR="00886B3B" w:rsidRPr="00886B3B" w:rsidRDefault="00886B3B" w:rsidP="00886B3B">
            <w:pPr>
              <w:spacing w:line="240" w:lineRule="auto"/>
              <w:jc w:val="center"/>
              <w:rPr>
                <w:rFonts w:ascii="Arial" w:eastAsia="Times New Roman" w:hAnsi="Arial"/>
                <w:b/>
                <w:bCs/>
                <w:sz w:val="20"/>
                <w:szCs w:val="20"/>
                <w:lang w:eastAsia="en-GB"/>
              </w:rPr>
            </w:pPr>
            <w:r w:rsidRPr="00886B3B">
              <w:rPr>
                <w:rFonts w:ascii="Arial" w:eastAsia="Times New Roman" w:hAnsi="Arial"/>
                <w:b/>
                <w:bCs/>
                <w:sz w:val="20"/>
                <w:szCs w:val="20"/>
                <w:lang w:eastAsia="en-GB"/>
              </w:rPr>
              <w:t>2018/19</w:t>
            </w:r>
          </w:p>
          <w:p w:rsidR="00886B3B" w:rsidRPr="00886B3B" w:rsidRDefault="00886B3B" w:rsidP="00886B3B">
            <w:pPr>
              <w:spacing w:line="240" w:lineRule="auto"/>
              <w:jc w:val="center"/>
              <w:rPr>
                <w:rFonts w:ascii="Arial" w:eastAsia="Times New Roman" w:hAnsi="Arial"/>
                <w:b/>
                <w:bCs/>
                <w:sz w:val="20"/>
                <w:szCs w:val="20"/>
                <w:lang w:eastAsia="en-GB"/>
              </w:rPr>
            </w:pPr>
            <w:r w:rsidRPr="00886B3B">
              <w:rPr>
                <w:rFonts w:ascii="Arial" w:eastAsia="Times New Roman" w:hAnsi="Arial"/>
                <w:b/>
                <w:bCs/>
                <w:sz w:val="20"/>
                <w:szCs w:val="20"/>
                <w:lang w:eastAsia="en-GB"/>
              </w:rPr>
              <w:t>Target</w:t>
            </w:r>
          </w:p>
        </w:tc>
        <w:tc>
          <w:tcPr>
            <w:tcW w:w="1417" w:type="dxa"/>
            <w:shd w:val="clear" w:color="000000" w:fill="C6D9F1" w:themeFill="text2" w:themeFillTint="33"/>
          </w:tcPr>
          <w:p w:rsidR="00886B3B" w:rsidRPr="00886B3B" w:rsidRDefault="00FC0889" w:rsidP="00886B3B">
            <w:pPr>
              <w:spacing w:line="240" w:lineRule="auto"/>
              <w:jc w:val="center"/>
              <w:rPr>
                <w:rFonts w:ascii="Arial" w:eastAsia="Times New Roman" w:hAnsi="Arial"/>
                <w:b/>
                <w:bCs/>
                <w:sz w:val="20"/>
                <w:szCs w:val="20"/>
                <w:lang w:eastAsia="en-GB"/>
              </w:rPr>
            </w:pPr>
            <w:r>
              <w:rPr>
                <w:rFonts w:ascii="Arial" w:eastAsia="Times New Roman" w:hAnsi="Arial"/>
                <w:b/>
                <w:bCs/>
                <w:sz w:val="20"/>
                <w:szCs w:val="20"/>
                <w:lang w:eastAsia="en-GB"/>
              </w:rPr>
              <w:t>2020/21</w:t>
            </w:r>
          </w:p>
          <w:p w:rsidR="00886B3B" w:rsidRPr="00886B3B" w:rsidRDefault="00FC0889" w:rsidP="00886B3B">
            <w:pPr>
              <w:spacing w:line="240" w:lineRule="auto"/>
              <w:jc w:val="center"/>
              <w:rPr>
                <w:rFonts w:ascii="Arial" w:eastAsia="Times New Roman" w:hAnsi="Arial"/>
                <w:b/>
                <w:bCs/>
                <w:sz w:val="20"/>
                <w:szCs w:val="20"/>
                <w:lang w:eastAsia="en-GB"/>
              </w:rPr>
            </w:pPr>
            <w:r>
              <w:rPr>
                <w:rFonts w:ascii="Arial" w:eastAsia="Times New Roman" w:hAnsi="Arial"/>
                <w:b/>
                <w:bCs/>
                <w:sz w:val="20"/>
                <w:szCs w:val="20"/>
                <w:lang w:eastAsia="en-GB"/>
              </w:rPr>
              <w:t>(2019/20</w:t>
            </w:r>
            <w:r w:rsidR="00886B3B" w:rsidRPr="00886B3B">
              <w:rPr>
                <w:rFonts w:ascii="Arial" w:eastAsia="Times New Roman" w:hAnsi="Arial"/>
                <w:b/>
                <w:bCs/>
                <w:sz w:val="20"/>
                <w:szCs w:val="20"/>
                <w:lang w:eastAsia="en-GB"/>
              </w:rPr>
              <w:t>)</w:t>
            </w:r>
          </w:p>
          <w:p w:rsidR="00886B3B" w:rsidRPr="00886B3B" w:rsidRDefault="00886B3B" w:rsidP="00886B3B">
            <w:pPr>
              <w:spacing w:line="240" w:lineRule="auto"/>
              <w:jc w:val="center"/>
              <w:rPr>
                <w:rFonts w:ascii="Arial" w:eastAsia="Times New Roman" w:hAnsi="Arial"/>
                <w:b/>
                <w:bCs/>
                <w:sz w:val="20"/>
                <w:szCs w:val="20"/>
                <w:lang w:eastAsia="en-GB"/>
              </w:rPr>
            </w:pPr>
            <w:r w:rsidRPr="00886B3B">
              <w:rPr>
                <w:rFonts w:ascii="Arial" w:eastAsia="Times New Roman" w:hAnsi="Arial"/>
                <w:b/>
                <w:bCs/>
                <w:sz w:val="20"/>
                <w:szCs w:val="20"/>
                <w:lang w:eastAsia="en-GB"/>
              </w:rPr>
              <w:t>Results</w:t>
            </w:r>
          </w:p>
        </w:tc>
        <w:tc>
          <w:tcPr>
            <w:tcW w:w="6350" w:type="dxa"/>
            <w:shd w:val="clear" w:color="000000" w:fill="C6D9F1" w:themeFill="text2" w:themeFillTint="33"/>
            <w:noWrap/>
            <w:vAlign w:val="bottom"/>
            <w:hideMark/>
          </w:tcPr>
          <w:p w:rsidR="00886B3B" w:rsidRPr="00886B3B" w:rsidRDefault="00886B3B" w:rsidP="00886B3B">
            <w:pPr>
              <w:spacing w:line="240" w:lineRule="auto"/>
              <w:jc w:val="center"/>
              <w:rPr>
                <w:rFonts w:ascii="Arial" w:eastAsia="Times New Roman" w:hAnsi="Arial"/>
                <w:b/>
                <w:bCs/>
                <w:sz w:val="20"/>
                <w:szCs w:val="20"/>
                <w:lang w:eastAsia="en-GB"/>
              </w:rPr>
            </w:pPr>
            <w:r w:rsidRPr="00886B3B">
              <w:rPr>
                <w:rFonts w:ascii="Arial" w:eastAsia="Times New Roman" w:hAnsi="Arial"/>
                <w:b/>
                <w:bCs/>
                <w:sz w:val="20"/>
                <w:szCs w:val="20"/>
                <w:lang w:eastAsia="en-GB"/>
              </w:rPr>
              <w:t xml:space="preserve">Will </w:t>
            </w:r>
          </w:p>
          <w:p w:rsidR="00886B3B" w:rsidRPr="00886B3B" w:rsidRDefault="00886B3B" w:rsidP="00886B3B">
            <w:pPr>
              <w:spacing w:line="240" w:lineRule="auto"/>
              <w:jc w:val="center"/>
              <w:rPr>
                <w:rFonts w:ascii="Arial" w:eastAsia="Times New Roman" w:hAnsi="Arial"/>
                <w:b/>
                <w:bCs/>
                <w:sz w:val="20"/>
                <w:szCs w:val="20"/>
                <w:lang w:eastAsia="en-GB"/>
              </w:rPr>
            </w:pPr>
            <w:r w:rsidRPr="00886B3B">
              <w:rPr>
                <w:rFonts w:ascii="Arial" w:eastAsia="Times New Roman" w:hAnsi="Arial"/>
                <w:b/>
                <w:bCs/>
                <w:sz w:val="20"/>
                <w:szCs w:val="20"/>
                <w:lang w:eastAsia="en-GB"/>
              </w:rPr>
              <w:t>Demonstrate</w:t>
            </w:r>
          </w:p>
          <w:p w:rsidR="00886B3B" w:rsidRPr="00886B3B" w:rsidRDefault="00886B3B" w:rsidP="00886B3B">
            <w:pPr>
              <w:spacing w:line="240" w:lineRule="auto"/>
              <w:jc w:val="center"/>
              <w:rPr>
                <w:rFonts w:ascii="Arial" w:eastAsia="Times New Roman" w:hAnsi="Arial"/>
                <w:b/>
                <w:bCs/>
                <w:i/>
                <w:sz w:val="20"/>
                <w:szCs w:val="20"/>
                <w:lang w:eastAsia="en-GB"/>
              </w:rPr>
            </w:pPr>
            <w:r w:rsidRPr="00886B3B">
              <w:rPr>
                <w:rFonts w:ascii="Arial" w:eastAsia="Times New Roman" w:hAnsi="Arial"/>
                <w:b/>
                <w:bCs/>
                <w:i/>
                <w:sz w:val="20"/>
                <w:szCs w:val="20"/>
                <w:lang w:eastAsia="en-GB"/>
              </w:rPr>
              <w:t>Comments</w:t>
            </w:r>
          </w:p>
        </w:tc>
      </w:tr>
      <w:tr w:rsidR="00886B3B" w:rsidRPr="00886B3B" w:rsidTr="00FC0889">
        <w:trPr>
          <w:trHeight w:val="789"/>
        </w:trPr>
        <w:tc>
          <w:tcPr>
            <w:tcW w:w="5431" w:type="dxa"/>
            <w:shd w:val="clear" w:color="auto" w:fill="auto"/>
            <w:vAlign w:val="center"/>
            <w:hideMark/>
          </w:tcPr>
          <w:p w:rsidR="00886B3B" w:rsidRPr="00886B3B" w:rsidRDefault="00886B3B" w:rsidP="00886B3B">
            <w:pPr>
              <w:spacing w:line="240" w:lineRule="auto"/>
              <w:rPr>
                <w:rFonts w:ascii="Arial" w:eastAsia="Times New Roman" w:hAnsi="Arial"/>
                <w:sz w:val="20"/>
                <w:szCs w:val="20"/>
                <w:lang w:eastAsia="en-GB"/>
              </w:rPr>
            </w:pPr>
            <w:r w:rsidRPr="00886B3B">
              <w:rPr>
                <w:rFonts w:ascii="Arial" w:eastAsia="Times New Roman" w:hAnsi="Arial"/>
                <w:sz w:val="20"/>
                <w:szCs w:val="20"/>
                <w:lang w:eastAsia="en-GB"/>
              </w:rPr>
              <w:lastRenderedPageBreak/>
              <w:t>D1 Percentage of  contracts commenced during year to SMEs</w:t>
            </w:r>
          </w:p>
        </w:tc>
        <w:tc>
          <w:tcPr>
            <w:tcW w:w="992" w:type="dxa"/>
            <w:shd w:val="clear" w:color="auto" w:fill="auto"/>
            <w:noWrap/>
            <w:vAlign w:val="center"/>
            <w:hideMark/>
          </w:tcPr>
          <w:p w:rsidR="00886B3B" w:rsidRPr="00886B3B" w:rsidRDefault="00886B3B" w:rsidP="00886B3B">
            <w:pPr>
              <w:spacing w:line="240" w:lineRule="auto"/>
              <w:jc w:val="center"/>
              <w:rPr>
                <w:rFonts w:ascii="Arial" w:eastAsia="Times New Roman" w:hAnsi="Arial"/>
                <w:sz w:val="20"/>
                <w:szCs w:val="20"/>
                <w:lang w:eastAsia="en-GB"/>
              </w:rPr>
            </w:pPr>
            <w:r w:rsidRPr="00886B3B">
              <w:rPr>
                <w:rFonts w:ascii="Arial" w:eastAsia="Times New Roman" w:hAnsi="Arial"/>
                <w:sz w:val="20"/>
                <w:szCs w:val="20"/>
                <w:lang w:eastAsia="en-GB"/>
              </w:rPr>
              <w:t>30%</w:t>
            </w:r>
          </w:p>
        </w:tc>
        <w:tc>
          <w:tcPr>
            <w:tcW w:w="1417" w:type="dxa"/>
          </w:tcPr>
          <w:p w:rsidR="00886B3B" w:rsidRDefault="00886B3B" w:rsidP="00FC0889">
            <w:pPr>
              <w:spacing w:line="240" w:lineRule="auto"/>
              <w:rPr>
                <w:rFonts w:ascii="Arial" w:eastAsia="Times New Roman" w:hAnsi="Arial"/>
                <w:color w:val="FF0000"/>
                <w:sz w:val="20"/>
                <w:szCs w:val="20"/>
                <w:lang w:eastAsia="en-GB"/>
              </w:rPr>
            </w:pPr>
          </w:p>
          <w:p w:rsidR="00FC0889" w:rsidRPr="00A32127" w:rsidRDefault="00FC0889" w:rsidP="00FC0889">
            <w:pPr>
              <w:spacing w:line="240" w:lineRule="auto"/>
              <w:rPr>
                <w:rFonts w:ascii="Arial" w:eastAsia="Times New Roman" w:hAnsi="Arial"/>
                <w:color w:val="FF0000"/>
                <w:sz w:val="20"/>
                <w:szCs w:val="20"/>
                <w:lang w:eastAsia="en-GB"/>
              </w:rPr>
            </w:pPr>
          </w:p>
          <w:p w:rsidR="00886B3B" w:rsidRPr="00FC0889" w:rsidRDefault="00FC0889" w:rsidP="00886B3B">
            <w:pPr>
              <w:spacing w:line="240" w:lineRule="auto"/>
              <w:jc w:val="center"/>
              <w:rPr>
                <w:rFonts w:ascii="Arial" w:eastAsia="Times New Roman" w:hAnsi="Arial"/>
                <w:sz w:val="20"/>
                <w:szCs w:val="20"/>
                <w:lang w:eastAsia="en-GB"/>
              </w:rPr>
            </w:pPr>
            <w:r w:rsidRPr="00FC0889">
              <w:rPr>
                <w:rFonts w:ascii="Arial" w:eastAsia="Times New Roman" w:hAnsi="Arial"/>
                <w:sz w:val="20"/>
                <w:szCs w:val="20"/>
                <w:lang w:eastAsia="en-GB"/>
              </w:rPr>
              <w:t>48.48%</w:t>
            </w:r>
          </w:p>
          <w:p w:rsidR="00886B3B" w:rsidRPr="00FC0889" w:rsidRDefault="00FC0889" w:rsidP="00886B3B">
            <w:pPr>
              <w:spacing w:line="240" w:lineRule="auto"/>
              <w:jc w:val="center"/>
              <w:rPr>
                <w:rFonts w:ascii="Arial" w:eastAsia="Times New Roman" w:hAnsi="Arial"/>
                <w:sz w:val="20"/>
                <w:szCs w:val="20"/>
                <w:lang w:eastAsia="en-GB"/>
              </w:rPr>
            </w:pPr>
            <w:r w:rsidRPr="00FC0889">
              <w:rPr>
                <w:rFonts w:ascii="Arial" w:eastAsia="Times New Roman" w:hAnsi="Arial"/>
                <w:sz w:val="20"/>
                <w:szCs w:val="20"/>
                <w:lang w:eastAsia="en-GB"/>
              </w:rPr>
              <w:t>(</w:t>
            </w:r>
            <w:r w:rsidR="00886B3B" w:rsidRPr="00FC0889">
              <w:rPr>
                <w:rFonts w:ascii="Arial" w:eastAsia="Times New Roman" w:hAnsi="Arial"/>
                <w:sz w:val="20"/>
                <w:szCs w:val="20"/>
                <w:lang w:eastAsia="en-GB"/>
              </w:rPr>
              <w:t>30.83%</w:t>
            </w:r>
            <w:r w:rsidRPr="00FC0889">
              <w:rPr>
                <w:rFonts w:ascii="Arial" w:eastAsia="Times New Roman" w:hAnsi="Arial"/>
                <w:sz w:val="20"/>
                <w:szCs w:val="20"/>
                <w:lang w:eastAsia="en-GB"/>
              </w:rPr>
              <w:t>)</w:t>
            </w:r>
          </w:p>
          <w:p w:rsidR="00886B3B" w:rsidRPr="00A32127" w:rsidRDefault="00886B3B" w:rsidP="00886B3B">
            <w:pPr>
              <w:spacing w:line="240" w:lineRule="auto"/>
              <w:jc w:val="center"/>
              <w:rPr>
                <w:rFonts w:ascii="Arial" w:eastAsia="Times New Roman" w:hAnsi="Arial"/>
                <w:color w:val="FF0000"/>
                <w:sz w:val="20"/>
                <w:szCs w:val="20"/>
                <w:lang w:eastAsia="en-GB"/>
              </w:rPr>
            </w:pPr>
          </w:p>
          <w:p w:rsidR="00886B3B" w:rsidRPr="00A32127" w:rsidRDefault="00886B3B" w:rsidP="00886B3B">
            <w:pPr>
              <w:spacing w:line="240" w:lineRule="auto"/>
              <w:rPr>
                <w:rFonts w:ascii="Arial" w:eastAsia="Times New Roman" w:hAnsi="Arial"/>
                <w:color w:val="FF0000"/>
                <w:sz w:val="20"/>
                <w:szCs w:val="20"/>
                <w:lang w:eastAsia="en-GB"/>
              </w:rPr>
            </w:pPr>
          </w:p>
        </w:tc>
        <w:tc>
          <w:tcPr>
            <w:tcW w:w="6350" w:type="dxa"/>
            <w:shd w:val="clear" w:color="auto" w:fill="auto"/>
            <w:noWrap/>
            <w:vAlign w:val="center"/>
            <w:hideMark/>
          </w:tcPr>
          <w:p w:rsidR="00886B3B" w:rsidRPr="00886B3B" w:rsidRDefault="00886B3B" w:rsidP="00886B3B">
            <w:pPr>
              <w:spacing w:line="240" w:lineRule="auto"/>
              <w:rPr>
                <w:rFonts w:ascii="Arial" w:eastAsia="Times New Roman" w:hAnsi="Arial"/>
                <w:sz w:val="20"/>
                <w:szCs w:val="20"/>
                <w:lang w:eastAsia="en-GB"/>
              </w:rPr>
            </w:pPr>
            <w:r w:rsidRPr="00886B3B">
              <w:rPr>
                <w:rFonts w:ascii="Arial" w:eastAsia="Times New Roman" w:hAnsi="Arial"/>
                <w:sz w:val="20"/>
                <w:szCs w:val="20"/>
                <w:lang w:eastAsia="en-GB"/>
              </w:rPr>
              <w:t xml:space="preserve">SME access to our business – volume </w:t>
            </w:r>
          </w:p>
          <w:p w:rsidR="00886B3B" w:rsidRPr="00886B3B" w:rsidRDefault="00886B3B" w:rsidP="00886B3B">
            <w:pPr>
              <w:spacing w:line="240" w:lineRule="auto"/>
              <w:rPr>
                <w:rFonts w:ascii="Arial" w:eastAsia="Times New Roman" w:hAnsi="Arial"/>
                <w:i/>
                <w:sz w:val="20"/>
                <w:szCs w:val="20"/>
                <w:lang w:eastAsia="en-GB"/>
              </w:rPr>
            </w:pPr>
          </w:p>
        </w:tc>
      </w:tr>
      <w:tr w:rsidR="00886B3B" w:rsidRPr="00886B3B" w:rsidTr="00FC0889">
        <w:trPr>
          <w:trHeight w:val="789"/>
        </w:trPr>
        <w:tc>
          <w:tcPr>
            <w:tcW w:w="5431" w:type="dxa"/>
            <w:shd w:val="clear" w:color="auto" w:fill="auto"/>
            <w:vAlign w:val="center"/>
          </w:tcPr>
          <w:p w:rsidR="00886B3B" w:rsidRPr="00886B3B" w:rsidRDefault="00886B3B" w:rsidP="00886B3B">
            <w:pPr>
              <w:spacing w:line="240" w:lineRule="auto"/>
              <w:rPr>
                <w:rFonts w:ascii="Arial" w:eastAsia="Times New Roman" w:hAnsi="Arial"/>
                <w:sz w:val="20"/>
                <w:szCs w:val="20"/>
                <w:lang w:eastAsia="en-GB"/>
              </w:rPr>
            </w:pPr>
            <w:r w:rsidRPr="00886B3B">
              <w:rPr>
                <w:rFonts w:ascii="Arial" w:eastAsia="Times New Roman" w:hAnsi="Arial"/>
                <w:sz w:val="20"/>
                <w:szCs w:val="20"/>
                <w:lang w:eastAsia="en-GB"/>
              </w:rPr>
              <w:t>D2 Percentage value of annual spend with SMEs for year</w:t>
            </w:r>
          </w:p>
        </w:tc>
        <w:tc>
          <w:tcPr>
            <w:tcW w:w="992" w:type="dxa"/>
            <w:shd w:val="clear" w:color="auto" w:fill="auto"/>
            <w:noWrap/>
            <w:vAlign w:val="center"/>
          </w:tcPr>
          <w:p w:rsidR="00886B3B" w:rsidRPr="00886B3B" w:rsidRDefault="00886B3B" w:rsidP="00886B3B">
            <w:pPr>
              <w:spacing w:line="240" w:lineRule="auto"/>
              <w:jc w:val="center"/>
              <w:rPr>
                <w:rFonts w:ascii="Arial" w:eastAsia="Times New Roman" w:hAnsi="Arial"/>
                <w:sz w:val="20"/>
                <w:szCs w:val="20"/>
                <w:lang w:eastAsia="en-GB"/>
              </w:rPr>
            </w:pPr>
            <w:r w:rsidRPr="00886B3B">
              <w:rPr>
                <w:rFonts w:ascii="Arial" w:eastAsia="Times New Roman" w:hAnsi="Arial"/>
                <w:sz w:val="20"/>
                <w:szCs w:val="20"/>
                <w:lang w:eastAsia="en-GB"/>
              </w:rPr>
              <w:t>55%</w:t>
            </w:r>
          </w:p>
        </w:tc>
        <w:tc>
          <w:tcPr>
            <w:tcW w:w="1417" w:type="dxa"/>
          </w:tcPr>
          <w:p w:rsidR="00FC0889" w:rsidRDefault="00FC0889" w:rsidP="00886B3B">
            <w:pPr>
              <w:spacing w:line="240" w:lineRule="auto"/>
              <w:jc w:val="center"/>
              <w:rPr>
                <w:rFonts w:ascii="Arial" w:eastAsia="Times New Roman" w:hAnsi="Arial"/>
                <w:color w:val="FF0000"/>
                <w:sz w:val="20"/>
                <w:szCs w:val="20"/>
                <w:lang w:eastAsia="en-GB"/>
              </w:rPr>
            </w:pPr>
          </w:p>
          <w:p w:rsidR="00886B3B" w:rsidRPr="00FC0889" w:rsidRDefault="00FC0889" w:rsidP="00886B3B">
            <w:pPr>
              <w:spacing w:line="240" w:lineRule="auto"/>
              <w:jc w:val="center"/>
              <w:rPr>
                <w:rFonts w:ascii="Arial" w:eastAsia="Times New Roman" w:hAnsi="Arial"/>
                <w:sz w:val="20"/>
                <w:szCs w:val="20"/>
                <w:lang w:eastAsia="en-GB"/>
              </w:rPr>
            </w:pPr>
            <w:r w:rsidRPr="00FC0889">
              <w:rPr>
                <w:rFonts w:ascii="Arial" w:eastAsia="Times New Roman" w:hAnsi="Arial"/>
                <w:sz w:val="20"/>
                <w:szCs w:val="20"/>
                <w:lang w:eastAsia="en-GB"/>
              </w:rPr>
              <w:t>49.34%</w:t>
            </w:r>
          </w:p>
          <w:p w:rsidR="00886B3B" w:rsidRPr="00FC0889" w:rsidRDefault="00FC0889" w:rsidP="00886B3B">
            <w:pPr>
              <w:spacing w:line="240" w:lineRule="auto"/>
              <w:jc w:val="center"/>
              <w:rPr>
                <w:rFonts w:ascii="Arial" w:eastAsia="Times New Roman" w:hAnsi="Arial"/>
                <w:sz w:val="20"/>
                <w:szCs w:val="20"/>
                <w:lang w:eastAsia="en-GB"/>
              </w:rPr>
            </w:pPr>
            <w:r w:rsidRPr="00FC0889">
              <w:rPr>
                <w:rFonts w:ascii="Arial" w:eastAsia="Times New Roman" w:hAnsi="Arial"/>
                <w:sz w:val="20"/>
                <w:szCs w:val="20"/>
                <w:lang w:eastAsia="en-GB"/>
              </w:rPr>
              <w:t>(</w:t>
            </w:r>
            <w:r w:rsidR="00886B3B" w:rsidRPr="00FC0889">
              <w:rPr>
                <w:rFonts w:ascii="Arial" w:eastAsia="Times New Roman" w:hAnsi="Arial"/>
                <w:sz w:val="20"/>
                <w:szCs w:val="20"/>
                <w:lang w:eastAsia="en-GB"/>
              </w:rPr>
              <w:t>46.77</w:t>
            </w:r>
            <w:r w:rsidRPr="00FC0889">
              <w:rPr>
                <w:rFonts w:ascii="Arial" w:eastAsia="Times New Roman" w:hAnsi="Arial"/>
                <w:sz w:val="20"/>
                <w:szCs w:val="20"/>
                <w:lang w:eastAsia="en-GB"/>
              </w:rPr>
              <w:t>%)</w:t>
            </w:r>
          </w:p>
          <w:p w:rsidR="00886B3B" w:rsidRPr="00A32127" w:rsidRDefault="00886B3B" w:rsidP="00886B3B">
            <w:pPr>
              <w:spacing w:line="240" w:lineRule="auto"/>
              <w:jc w:val="center"/>
              <w:rPr>
                <w:rFonts w:ascii="Arial" w:eastAsia="Times New Roman" w:hAnsi="Arial"/>
                <w:color w:val="FF0000"/>
                <w:sz w:val="20"/>
                <w:szCs w:val="20"/>
                <w:lang w:eastAsia="en-GB"/>
              </w:rPr>
            </w:pPr>
          </w:p>
          <w:p w:rsidR="00886B3B" w:rsidRPr="00A32127" w:rsidRDefault="00886B3B" w:rsidP="00886B3B">
            <w:pPr>
              <w:spacing w:line="240" w:lineRule="auto"/>
              <w:jc w:val="center"/>
              <w:rPr>
                <w:rFonts w:ascii="Arial" w:eastAsia="Times New Roman" w:hAnsi="Arial"/>
                <w:color w:val="FF0000"/>
                <w:sz w:val="20"/>
                <w:szCs w:val="20"/>
                <w:lang w:eastAsia="en-GB"/>
              </w:rPr>
            </w:pPr>
          </w:p>
        </w:tc>
        <w:tc>
          <w:tcPr>
            <w:tcW w:w="6350" w:type="dxa"/>
            <w:shd w:val="clear" w:color="auto" w:fill="auto"/>
            <w:noWrap/>
            <w:vAlign w:val="center"/>
          </w:tcPr>
          <w:p w:rsidR="00886B3B" w:rsidRPr="00886B3B" w:rsidRDefault="00886B3B" w:rsidP="00886B3B">
            <w:pPr>
              <w:spacing w:line="240" w:lineRule="auto"/>
              <w:rPr>
                <w:rFonts w:ascii="Arial" w:eastAsia="Times New Roman" w:hAnsi="Arial"/>
                <w:sz w:val="20"/>
                <w:szCs w:val="20"/>
                <w:lang w:eastAsia="en-GB"/>
              </w:rPr>
            </w:pPr>
            <w:r w:rsidRPr="00886B3B">
              <w:rPr>
                <w:rFonts w:ascii="Arial" w:eastAsia="Times New Roman" w:hAnsi="Arial"/>
                <w:sz w:val="20"/>
                <w:szCs w:val="20"/>
                <w:lang w:eastAsia="en-GB"/>
              </w:rPr>
              <w:t xml:space="preserve">SME access to our business – by value </w:t>
            </w:r>
            <w:r w:rsidRPr="00886B3B">
              <w:rPr>
                <w:rFonts w:ascii="Arial" w:eastAsia="Times New Roman" w:hAnsi="Arial"/>
                <w:sz w:val="20"/>
                <w:szCs w:val="20"/>
                <w:lang w:eastAsia="en-GB"/>
              </w:rPr>
              <w:br/>
            </w:r>
          </w:p>
        </w:tc>
      </w:tr>
      <w:tr w:rsidR="00886B3B" w:rsidRPr="00886B3B" w:rsidTr="00FC0889">
        <w:trPr>
          <w:trHeight w:val="789"/>
        </w:trPr>
        <w:tc>
          <w:tcPr>
            <w:tcW w:w="5431" w:type="dxa"/>
            <w:shd w:val="clear" w:color="auto" w:fill="auto"/>
            <w:vAlign w:val="center"/>
          </w:tcPr>
          <w:p w:rsidR="00886B3B" w:rsidRPr="00886B3B" w:rsidRDefault="00886B3B" w:rsidP="00886B3B">
            <w:pPr>
              <w:spacing w:line="240" w:lineRule="auto"/>
              <w:rPr>
                <w:rFonts w:ascii="Arial" w:eastAsia="Times New Roman" w:hAnsi="Arial"/>
                <w:sz w:val="20"/>
                <w:szCs w:val="20"/>
                <w:lang w:eastAsia="en-GB"/>
              </w:rPr>
            </w:pPr>
            <w:r w:rsidRPr="00886B3B">
              <w:rPr>
                <w:rFonts w:ascii="Arial" w:eastAsia="Times New Roman" w:hAnsi="Arial"/>
                <w:sz w:val="20"/>
                <w:szCs w:val="20"/>
                <w:lang w:eastAsia="en-GB"/>
              </w:rPr>
              <w:t>D3 Percentage value of spend with Moray, Highland and Aberdeen council areas</w:t>
            </w:r>
          </w:p>
        </w:tc>
        <w:tc>
          <w:tcPr>
            <w:tcW w:w="992" w:type="dxa"/>
            <w:shd w:val="clear" w:color="auto" w:fill="auto"/>
            <w:noWrap/>
            <w:vAlign w:val="center"/>
          </w:tcPr>
          <w:p w:rsidR="00886B3B" w:rsidRPr="00886B3B" w:rsidRDefault="00886B3B" w:rsidP="00886B3B">
            <w:pPr>
              <w:spacing w:line="240" w:lineRule="auto"/>
              <w:jc w:val="center"/>
              <w:rPr>
                <w:rFonts w:ascii="Arial" w:eastAsia="Times New Roman" w:hAnsi="Arial"/>
                <w:sz w:val="20"/>
                <w:szCs w:val="20"/>
                <w:lang w:eastAsia="en-GB"/>
              </w:rPr>
            </w:pPr>
            <w:r w:rsidRPr="00886B3B">
              <w:rPr>
                <w:rFonts w:ascii="Arial" w:eastAsia="Times New Roman" w:hAnsi="Arial"/>
                <w:sz w:val="20"/>
                <w:szCs w:val="20"/>
                <w:lang w:eastAsia="en-GB"/>
              </w:rPr>
              <w:t>50%</w:t>
            </w:r>
          </w:p>
        </w:tc>
        <w:tc>
          <w:tcPr>
            <w:tcW w:w="1417" w:type="dxa"/>
          </w:tcPr>
          <w:p w:rsidR="00886B3B" w:rsidRPr="00A32127" w:rsidRDefault="00886B3B" w:rsidP="00886B3B">
            <w:pPr>
              <w:spacing w:line="240" w:lineRule="auto"/>
              <w:jc w:val="center"/>
              <w:rPr>
                <w:rFonts w:ascii="Arial" w:eastAsia="Times New Roman" w:hAnsi="Arial"/>
                <w:color w:val="FF0000"/>
                <w:sz w:val="20"/>
                <w:szCs w:val="20"/>
                <w:lang w:eastAsia="en-GB"/>
              </w:rPr>
            </w:pPr>
          </w:p>
          <w:p w:rsidR="00FC0889" w:rsidRPr="00FC0889" w:rsidRDefault="00FC0889" w:rsidP="00FC0889">
            <w:pPr>
              <w:spacing w:line="240" w:lineRule="auto"/>
              <w:jc w:val="center"/>
              <w:rPr>
                <w:rFonts w:ascii="Arial" w:eastAsia="Times New Roman" w:hAnsi="Arial"/>
                <w:sz w:val="20"/>
                <w:szCs w:val="20"/>
                <w:lang w:eastAsia="en-GB"/>
              </w:rPr>
            </w:pPr>
            <w:r w:rsidRPr="00FC0889">
              <w:rPr>
                <w:rFonts w:ascii="Arial" w:eastAsia="Times New Roman" w:hAnsi="Arial"/>
                <w:sz w:val="20"/>
                <w:szCs w:val="20"/>
                <w:lang w:eastAsia="en-GB"/>
              </w:rPr>
              <w:t>38.09%</w:t>
            </w:r>
          </w:p>
          <w:p w:rsidR="00886B3B" w:rsidRPr="00FC0889" w:rsidRDefault="00FC0889" w:rsidP="00886B3B">
            <w:pPr>
              <w:spacing w:line="240" w:lineRule="auto"/>
              <w:jc w:val="center"/>
              <w:rPr>
                <w:rFonts w:ascii="Arial" w:eastAsia="Times New Roman" w:hAnsi="Arial"/>
                <w:sz w:val="20"/>
                <w:szCs w:val="20"/>
                <w:lang w:eastAsia="en-GB"/>
              </w:rPr>
            </w:pPr>
            <w:r w:rsidRPr="00FC0889">
              <w:rPr>
                <w:rFonts w:ascii="Arial" w:eastAsia="Times New Roman" w:hAnsi="Arial"/>
                <w:sz w:val="20"/>
                <w:szCs w:val="20"/>
                <w:lang w:eastAsia="en-GB"/>
              </w:rPr>
              <w:t>(</w:t>
            </w:r>
            <w:r w:rsidR="00886B3B" w:rsidRPr="00FC0889">
              <w:rPr>
                <w:rFonts w:ascii="Arial" w:eastAsia="Times New Roman" w:hAnsi="Arial"/>
                <w:sz w:val="20"/>
                <w:szCs w:val="20"/>
                <w:lang w:eastAsia="en-GB"/>
              </w:rPr>
              <w:t>37.69</w:t>
            </w:r>
            <w:r w:rsidRPr="00FC0889">
              <w:rPr>
                <w:rFonts w:ascii="Arial" w:eastAsia="Times New Roman" w:hAnsi="Arial"/>
                <w:sz w:val="20"/>
                <w:szCs w:val="20"/>
                <w:lang w:eastAsia="en-GB"/>
              </w:rPr>
              <w:t>%)</w:t>
            </w:r>
          </w:p>
          <w:p w:rsidR="00886B3B" w:rsidRPr="00A32127" w:rsidRDefault="00886B3B" w:rsidP="00FC0889">
            <w:pPr>
              <w:spacing w:line="240" w:lineRule="auto"/>
              <w:rPr>
                <w:rFonts w:ascii="Arial" w:eastAsia="Times New Roman" w:hAnsi="Arial"/>
                <w:color w:val="FF0000"/>
                <w:sz w:val="20"/>
                <w:szCs w:val="20"/>
                <w:lang w:eastAsia="en-GB"/>
              </w:rPr>
            </w:pPr>
          </w:p>
          <w:p w:rsidR="00886B3B" w:rsidRPr="00A32127" w:rsidRDefault="00886B3B" w:rsidP="00886B3B">
            <w:pPr>
              <w:spacing w:line="240" w:lineRule="auto"/>
              <w:jc w:val="center"/>
              <w:rPr>
                <w:rFonts w:ascii="Arial" w:eastAsia="Times New Roman" w:hAnsi="Arial"/>
                <w:color w:val="FF0000"/>
                <w:sz w:val="20"/>
                <w:szCs w:val="20"/>
                <w:lang w:eastAsia="en-GB"/>
              </w:rPr>
            </w:pPr>
          </w:p>
        </w:tc>
        <w:tc>
          <w:tcPr>
            <w:tcW w:w="6350" w:type="dxa"/>
            <w:shd w:val="clear" w:color="auto" w:fill="auto"/>
            <w:noWrap/>
            <w:vAlign w:val="center"/>
          </w:tcPr>
          <w:p w:rsidR="00886B3B" w:rsidRPr="00886B3B" w:rsidRDefault="00886B3B" w:rsidP="00886B3B">
            <w:pPr>
              <w:spacing w:line="240" w:lineRule="auto"/>
              <w:rPr>
                <w:rFonts w:ascii="Arial" w:eastAsia="Times New Roman" w:hAnsi="Arial"/>
                <w:sz w:val="20"/>
                <w:szCs w:val="20"/>
                <w:lang w:eastAsia="en-GB"/>
              </w:rPr>
            </w:pPr>
            <w:r w:rsidRPr="00886B3B">
              <w:rPr>
                <w:rFonts w:ascii="Arial" w:eastAsia="Times New Roman" w:hAnsi="Arial"/>
                <w:sz w:val="20"/>
                <w:szCs w:val="20"/>
                <w:lang w:eastAsia="en-GB"/>
              </w:rPr>
              <w:t xml:space="preserve">“local” access to our business – value </w:t>
            </w:r>
          </w:p>
          <w:p w:rsidR="00886B3B" w:rsidRPr="00886B3B" w:rsidRDefault="00886B3B" w:rsidP="00886B3B">
            <w:pPr>
              <w:spacing w:line="240" w:lineRule="auto"/>
              <w:rPr>
                <w:rFonts w:ascii="Arial" w:eastAsia="Times New Roman" w:hAnsi="Arial"/>
                <w:i/>
                <w:sz w:val="20"/>
                <w:szCs w:val="20"/>
                <w:lang w:eastAsia="en-GB"/>
              </w:rPr>
            </w:pPr>
          </w:p>
        </w:tc>
      </w:tr>
      <w:tr w:rsidR="00886B3B" w:rsidRPr="00886B3B" w:rsidTr="00FC0889">
        <w:trPr>
          <w:trHeight w:val="392"/>
        </w:trPr>
        <w:tc>
          <w:tcPr>
            <w:tcW w:w="5431" w:type="dxa"/>
            <w:shd w:val="clear" w:color="auto" w:fill="auto"/>
            <w:vAlign w:val="center"/>
          </w:tcPr>
          <w:p w:rsidR="00886B3B" w:rsidRPr="00886B3B" w:rsidRDefault="00886B3B" w:rsidP="00886B3B">
            <w:pPr>
              <w:spacing w:line="240" w:lineRule="auto"/>
              <w:rPr>
                <w:rFonts w:ascii="Arial" w:eastAsia="Times New Roman" w:hAnsi="Arial"/>
                <w:sz w:val="20"/>
                <w:szCs w:val="20"/>
                <w:lang w:eastAsia="en-GB"/>
              </w:rPr>
            </w:pPr>
          </w:p>
          <w:p w:rsidR="00886B3B" w:rsidRPr="00886B3B" w:rsidRDefault="00886B3B" w:rsidP="00886B3B">
            <w:pPr>
              <w:spacing w:line="240" w:lineRule="auto"/>
              <w:rPr>
                <w:rFonts w:ascii="Arial" w:eastAsia="Times New Roman" w:hAnsi="Arial"/>
                <w:sz w:val="20"/>
                <w:szCs w:val="20"/>
                <w:lang w:eastAsia="en-GB"/>
              </w:rPr>
            </w:pPr>
            <w:r w:rsidRPr="00886B3B">
              <w:rPr>
                <w:rFonts w:ascii="Arial" w:eastAsia="Times New Roman" w:hAnsi="Arial"/>
                <w:sz w:val="20"/>
                <w:szCs w:val="20"/>
                <w:lang w:eastAsia="en-GB"/>
              </w:rPr>
              <w:t>D4 Number of “events” held or participated in during year</w:t>
            </w:r>
          </w:p>
          <w:p w:rsidR="00886B3B" w:rsidRPr="00886B3B" w:rsidRDefault="00886B3B" w:rsidP="00886B3B">
            <w:pPr>
              <w:spacing w:line="240" w:lineRule="auto"/>
              <w:rPr>
                <w:rFonts w:ascii="Arial" w:eastAsia="Times New Roman" w:hAnsi="Arial"/>
                <w:sz w:val="20"/>
                <w:szCs w:val="20"/>
                <w:lang w:eastAsia="en-GB"/>
              </w:rPr>
            </w:pPr>
          </w:p>
        </w:tc>
        <w:tc>
          <w:tcPr>
            <w:tcW w:w="992" w:type="dxa"/>
            <w:shd w:val="clear" w:color="auto" w:fill="auto"/>
            <w:vAlign w:val="center"/>
          </w:tcPr>
          <w:p w:rsidR="00886B3B" w:rsidRPr="00886B3B" w:rsidRDefault="00886B3B" w:rsidP="00886B3B">
            <w:pPr>
              <w:spacing w:line="240" w:lineRule="auto"/>
              <w:jc w:val="center"/>
              <w:rPr>
                <w:rFonts w:ascii="Arial" w:eastAsia="Times New Roman" w:hAnsi="Arial"/>
                <w:sz w:val="20"/>
                <w:szCs w:val="20"/>
                <w:lang w:eastAsia="en-GB"/>
              </w:rPr>
            </w:pPr>
            <w:r w:rsidRPr="00886B3B">
              <w:rPr>
                <w:rFonts w:ascii="Arial" w:eastAsia="Times New Roman" w:hAnsi="Arial"/>
                <w:sz w:val="20"/>
                <w:szCs w:val="20"/>
                <w:lang w:eastAsia="en-GB"/>
              </w:rPr>
              <w:t>10</w:t>
            </w:r>
          </w:p>
        </w:tc>
        <w:tc>
          <w:tcPr>
            <w:tcW w:w="1417" w:type="dxa"/>
          </w:tcPr>
          <w:p w:rsidR="00886B3B" w:rsidRDefault="00886B3B" w:rsidP="00886B3B">
            <w:pPr>
              <w:spacing w:line="240" w:lineRule="auto"/>
              <w:jc w:val="center"/>
              <w:rPr>
                <w:rFonts w:ascii="Arial" w:eastAsia="Times New Roman" w:hAnsi="Arial"/>
                <w:color w:val="FF0000"/>
                <w:sz w:val="20"/>
                <w:szCs w:val="20"/>
                <w:lang w:eastAsia="en-GB"/>
              </w:rPr>
            </w:pPr>
          </w:p>
          <w:p w:rsidR="00FC0889" w:rsidRPr="005F5340" w:rsidRDefault="00642720" w:rsidP="00886B3B">
            <w:pPr>
              <w:spacing w:line="240" w:lineRule="auto"/>
              <w:jc w:val="center"/>
              <w:rPr>
                <w:rFonts w:ascii="Arial" w:eastAsia="Times New Roman" w:hAnsi="Arial"/>
                <w:sz w:val="20"/>
                <w:szCs w:val="20"/>
                <w:lang w:eastAsia="en-GB"/>
              </w:rPr>
            </w:pPr>
            <w:r>
              <w:rPr>
                <w:rFonts w:ascii="Arial" w:eastAsia="Times New Roman" w:hAnsi="Arial"/>
                <w:sz w:val="20"/>
                <w:szCs w:val="20"/>
                <w:lang w:eastAsia="en-GB"/>
              </w:rPr>
              <w:t>5</w:t>
            </w:r>
          </w:p>
          <w:p w:rsidR="00886B3B" w:rsidRPr="00FC0889" w:rsidRDefault="00FC0889" w:rsidP="00886B3B">
            <w:pPr>
              <w:spacing w:line="240" w:lineRule="auto"/>
              <w:jc w:val="center"/>
              <w:rPr>
                <w:rFonts w:ascii="Arial" w:eastAsia="Times New Roman" w:hAnsi="Arial"/>
                <w:sz w:val="20"/>
                <w:szCs w:val="20"/>
                <w:lang w:eastAsia="en-GB"/>
              </w:rPr>
            </w:pPr>
            <w:r w:rsidRPr="00FC0889">
              <w:rPr>
                <w:rFonts w:ascii="Arial" w:eastAsia="Times New Roman" w:hAnsi="Arial"/>
                <w:sz w:val="20"/>
                <w:szCs w:val="20"/>
                <w:lang w:eastAsia="en-GB"/>
              </w:rPr>
              <w:t>(</w:t>
            </w:r>
            <w:r w:rsidR="00886B3B" w:rsidRPr="00FC0889">
              <w:rPr>
                <w:rFonts w:ascii="Arial" w:eastAsia="Times New Roman" w:hAnsi="Arial"/>
                <w:sz w:val="20"/>
                <w:szCs w:val="20"/>
                <w:lang w:eastAsia="en-GB"/>
              </w:rPr>
              <w:t>9</w:t>
            </w:r>
            <w:r w:rsidRPr="00FC0889">
              <w:rPr>
                <w:rFonts w:ascii="Arial" w:eastAsia="Times New Roman" w:hAnsi="Arial"/>
                <w:sz w:val="20"/>
                <w:szCs w:val="20"/>
                <w:lang w:eastAsia="en-GB"/>
              </w:rPr>
              <w:t>)</w:t>
            </w:r>
          </w:p>
          <w:p w:rsidR="00886B3B" w:rsidRPr="00A32127" w:rsidRDefault="00886B3B" w:rsidP="00FC0889">
            <w:pPr>
              <w:spacing w:line="240" w:lineRule="auto"/>
              <w:rPr>
                <w:rFonts w:ascii="Arial" w:eastAsia="Times New Roman" w:hAnsi="Arial"/>
                <w:color w:val="FF0000"/>
                <w:sz w:val="20"/>
                <w:szCs w:val="20"/>
                <w:lang w:eastAsia="en-GB"/>
              </w:rPr>
            </w:pPr>
          </w:p>
          <w:p w:rsidR="00886B3B" w:rsidRPr="00A32127" w:rsidRDefault="00886B3B" w:rsidP="00886B3B">
            <w:pPr>
              <w:spacing w:line="240" w:lineRule="auto"/>
              <w:rPr>
                <w:rFonts w:ascii="Arial" w:eastAsia="Times New Roman" w:hAnsi="Arial"/>
                <w:color w:val="FF0000"/>
                <w:sz w:val="20"/>
                <w:szCs w:val="20"/>
                <w:lang w:eastAsia="en-GB"/>
              </w:rPr>
            </w:pPr>
          </w:p>
        </w:tc>
        <w:tc>
          <w:tcPr>
            <w:tcW w:w="6350" w:type="dxa"/>
            <w:shd w:val="clear" w:color="auto" w:fill="auto"/>
            <w:vAlign w:val="center"/>
          </w:tcPr>
          <w:p w:rsidR="00886B3B" w:rsidRPr="00886B3B" w:rsidRDefault="00886B3B" w:rsidP="00886B3B">
            <w:pPr>
              <w:spacing w:line="240" w:lineRule="auto"/>
              <w:rPr>
                <w:rFonts w:ascii="Arial" w:eastAsia="Times New Roman" w:hAnsi="Arial"/>
                <w:sz w:val="20"/>
                <w:szCs w:val="20"/>
                <w:lang w:eastAsia="en-GB"/>
              </w:rPr>
            </w:pPr>
            <w:r w:rsidRPr="00886B3B">
              <w:rPr>
                <w:rFonts w:ascii="Arial" w:eastAsia="Times New Roman" w:hAnsi="Arial"/>
                <w:sz w:val="20"/>
                <w:szCs w:val="20"/>
                <w:lang w:eastAsia="en-GB"/>
              </w:rPr>
              <w:t xml:space="preserve">Supplier engagement </w:t>
            </w:r>
            <w:r w:rsidR="00642720">
              <w:rPr>
                <w:rFonts w:ascii="Arial" w:eastAsia="Times New Roman" w:hAnsi="Arial"/>
                <w:sz w:val="20"/>
                <w:szCs w:val="20"/>
                <w:lang w:eastAsia="en-GB"/>
              </w:rPr>
              <w:t>and internal training sessions</w:t>
            </w:r>
          </w:p>
        </w:tc>
      </w:tr>
    </w:tbl>
    <w:p w:rsidR="00886B3B" w:rsidRPr="00886B3B" w:rsidRDefault="00886B3B" w:rsidP="00886B3B">
      <w:pPr>
        <w:autoSpaceDE w:val="0"/>
        <w:autoSpaceDN w:val="0"/>
        <w:adjustRightInd w:val="0"/>
        <w:spacing w:after="200" w:line="240" w:lineRule="auto"/>
        <w:ind w:left="709"/>
        <w:contextualSpacing/>
        <w:rPr>
          <w:rFonts w:ascii="Arial" w:hAnsi="Arial"/>
          <w:color w:val="000000"/>
        </w:rPr>
      </w:pPr>
    </w:p>
    <w:p w:rsidR="00162F66" w:rsidRPr="00886B3B" w:rsidRDefault="00162F66" w:rsidP="00886B3B">
      <w:pPr>
        <w:autoSpaceDE w:val="0"/>
        <w:autoSpaceDN w:val="0"/>
        <w:adjustRightInd w:val="0"/>
        <w:spacing w:after="200" w:line="240" w:lineRule="auto"/>
        <w:contextualSpacing/>
        <w:rPr>
          <w:rFonts w:ascii="Arial" w:hAnsi="Arial"/>
          <w:color w:val="000000"/>
        </w:rPr>
      </w:pPr>
    </w:p>
    <w:p w:rsidR="00886B3B" w:rsidRPr="00886B3B" w:rsidRDefault="00886B3B" w:rsidP="00886B3B">
      <w:pPr>
        <w:numPr>
          <w:ilvl w:val="0"/>
          <w:numId w:val="1"/>
        </w:numPr>
        <w:autoSpaceDE w:val="0"/>
        <w:autoSpaceDN w:val="0"/>
        <w:adjustRightInd w:val="0"/>
        <w:spacing w:after="200" w:line="240" w:lineRule="auto"/>
        <w:ind w:hanging="720"/>
        <w:contextualSpacing/>
        <w:rPr>
          <w:rFonts w:ascii="Arial" w:hAnsi="Arial"/>
          <w:color w:val="000000"/>
        </w:rPr>
      </w:pPr>
      <w:r w:rsidRPr="00886B3B">
        <w:rPr>
          <w:rFonts w:ascii="Arial" w:hAnsi="Arial"/>
          <w:b/>
          <w:bCs/>
          <w:color w:val="000000"/>
        </w:rPr>
        <w:t xml:space="preserve">Community Benefits </w:t>
      </w:r>
      <w:r w:rsidRPr="00886B3B">
        <w:rPr>
          <w:rFonts w:ascii="Arial" w:hAnsi="Arial"/>
          <w:color w:val="000000"/>
        </w:rPr>
        <w:t>-</w:t>
      </w:r>
    </w:p>
    <w:p w:rsidR="00886B3B" w:rsidRPr="00886B3B" w:rsidRDefault="00886B3B" w:rsidP="00886B3B">
      <w:pPr>
        <w:autoSpaceDE w:val="0"/>
        <w:autoSpaceDN w:val="0"/>
        <w:adjustRightInd w:val="0"/>
        <w:spacing w:after="200" w:line="240" w:lineRule="auto"/>
        <w:ind w:left="720"/>
        <w:contextualSpacing/>
        <w:rPr>
          <w:rFonts w:ascii="Arial" w:hAnsi="Arial"/>
          <w:color w:val="000000"/>
        </w:rPr>
      </w:pP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992"/>
        <w:gridCol w:w="1275"/>
        <w:gridCol w:w="6380"/>
      </w:tblGrid>
      <w:tr w:rsidR="00886B3B" w:rsidRPr="00886B3B" w:rsidTr="00BD5427">
        <w:trPr>
          <w:trHeight w:val="538"/>
        </w:trPr>
        <w:tc>
          <w:tcPr>
            <w:tcW w:w="1949" w:type="pct"/>
            <w:shd w:val="clear" w:color="000000" w:fill="C6D9F1" w:themeFill="text2" w:themeFillTint="33"/>
            <w:vAlign w:val="center"/>
            <w:hideMark/>
          </w:tcPr>
          <w:p w:rsidR="00886B3B" w:rsidRPr="00886B3B" w:rsidRDefault="00886B3B" w:rsidP="00886B3B">
            <w:pPr>
              <w:spacing w:line="240" w:lineRule="auto"/>
              <w:jc w:val="center"/>
              <w:rPr>
                <w:rFonts w:ascii="Arial" w:eastAsia="Times New Roman" w:hAnsi="Arial"/>
                <w:b/>
                <w:bCs/>
                <w:sz w:val="20"/>
                <w:szCs w:val="20"/>
                <w:lang w:eastAsia="en-GB"/>
              </w:rPr>
            </w:pPr>
            <w:r w:rsidRPr="00886B3B">
              <w:rPr>
                <w:rFonts w:ascii="Arial" w:eastAsia="Times New Roman" w:hAnsi="Arial"/>
                <w:b/>
                <w:bCs/>
                <w:sz w:val="20"/>
                <w:szCs w:val="20"/>
                <w:lang w:eastAsia="en-GB"/>
              </w:rPr>
              <w:t>The Measure</w:t>
            </w:r>
          </w:p>
        </w:tc>
        <w:tc>
          <w:tcPr>
            <w:tcW w:w="350" w:type="pct"/>
            <w:shd w:val="clear" w:color="000000" w:fill="C6D9F1" w:themeFill="text2" w:themeFillTint="33"/>
            <w:noWrap/>
            <w:vAlign w:val="bottom"/>
            <w:hideMark/>
          </w:tcPr>
          <w:p w:rsidR="00886B3B" w:rsidRPr="00886B3B" w:rsidRDefault="00886B3B" w:rsidP="00886B3B">
            <w:pPr>
              <w:spacing w:line="240" w:lineRule="auto"/>
              <w:jc w:val="center"/>
              <w:rPr>
                <w:rFonts w:ascii="Arial" w:eastAsia="Times New Roman" w:hAnsi="Arial"/>
                <w:b/>
                <w:bCs/>
                <w:sz w:val="20"/>
                <w:szCs w:val="20"/>
                <w:lang w:eastAsia="en-GB"/>
              </w:rPr>
            </w:pPr>
            <w:r w:rsidRPr="00886B3B">
              <w:rPr>
                <w:rFonts w:ascii="Arial" w:eastAsia="Times New Roman" w:hAnsi="Arial"/>
                <w:b/>
                <w:bCs/>
                <w:sz w:val="20"/>
                <w:szCs w:val="20"/>
                <w:lang w:eastAsia="en-GB"/>
              </w:rPr>
              <w:t>2018/19</w:t>
            </w:r>
          </w:p>
          <w:p w:rsidR="00886B3B" w:rsidRPr="00886B3B" w:rsidRDefault="00886B3B" w:rsidP="00886B3B">
            <w:pPr>
              <w:spacing w:line="240" w:lineRule="auto"/>
              <w:jc w:val="center"/>
              <w:rPr>
                <w:rFonts w:ascii="Arial" w:eastAsia="Times New Roman" w:hAnsi="Arial"/>
                <w:b/>
                <w:bCs/>
                <w:sz w:val="20"/>
                <w:szCs w:val="20"/>
                <w:lang w:eastAsia="en-GB"/>
              </w:rPr>
            </w:pPr>
            <w:r w:rsidRPr="00886B3B">
              <w:rPr>
                <w:rFonts w:ascii="Arial" w:eastAsia="Times New Roman" w:hAnsi="Arial"/>
                <w:b/>
                <w:bCs/>
                <w:sz w:val="20"/>
                <w:szCs w:val="20"/>
                <w:lang w:eastAsia="en-GB"/>
              </w:rPr>
              <w:t>Target</w:t>
            </w:r>
          </w:p>
        </w:tc>
        <w:tc>
          <w:tcPr>
            <w:tcW w:w="450" w:type="pct"/>
            <w:shd w:val="clear" w:color="000000" w:fill="C6D9F1" w:themeFill="text2" w:themeFillTint="33"/>
          </w:tcPr>
          <w:p w:rsidR="00886B3B" w:rsidRPr="00886B3B" w:rsidRDefault="00A554FA" w:rsidP="00886B3B">
            <w:pPr>
              <w:spacing w:line="240" w:lineRule="auto"/>
              <w:jc w:val="center"/>
              <w:rPr>
                <w:rFonts w:ascii="Arial" w:eastAsia="Times New Roman" w:hAnsi="Arial"/>
                <w:b/>
                <w:bCs/>
                <w:sz w:val="20"/>
                <w:szCs w:val="20"/>
                <w:lang w:eastAsia="en-GB"/>
              </w:rPr>
            </w:pPr>
            <w:r>
              <w:rPr>
                <w:rFonts w:ascii="Arial" w:eastAsia="Times New Roman" w:hAnsi="Arial"/>
                <w:b/>
                <w:bCs/>
                <w:sz w:val="20"/>
                <w:szCs w:val="20"/>
                <w:lang w:eastAsia="en-GB"/>
              </w:rPr>
              <w:t>2020/21</w:t>
            </w:r>
          </w:p>
          <w:p w:rsidR="00886B3B" w:rsidRPr="00886B3B" w:rsidRDefault="00A554FA" w:rsidP="00886B3B">
            <w:pPr>
              <w:spacing w:line="240" w:lineRule="auto"/>
              <w:jc w:val="center"/>
              <w:rPr>
                <w:rFonts w:ascii="Arial" w:eastAsia="Times New Roman" w:hAnsi="Arial"/>
                <w:b/>
                <w:bCs/>
                <w:sz w:val="20"/>
                <w:szCs w:val="20"/>
                <w:lang w:eastAsia="en-GB"/>
              </w:rPr>
            </w:pPr>
            <w:r>
              <w:rPr>
                <w:rFonts w:ascii="Arial" w:eastAsia="Times New Roman" w:hAnsi="Arial"/>
                <w:b/>
                <w:bCs/>
                <w:sz w:val="20"/>
                <w:szCs w:val="20"/>
                <w:lang w:eastAsia="en-GB"/>
              </w:rPr>
              <w:t>(2019/20</w:t>
            </w:r>
            <w:r w:rsidR="00886B3B" w:rsidRPr="00886B3B">
              <w:rPr>
                <w:rFonts w:ascii="Arial" w:eastAsia="Times New Roman" w:hAnsi="Arial"/>
                <w:b/>
                <w:bCs/>
                <w:sz w:val="20"/>
                <w:szCs w:val="20"/>
                <w:lang w:eastAsia="en-GB"/>
              </w:rPr>
              <w:t>)</w:t>
            </w:r>
          </w:p>
          <w:p w:rsidR="00886B3B" w:rsidRPr="00886B3B" w:rsidRDefault="00886B3B" w:rsidP="00886B3B">
            <w:pPr>
              <w:spacing w:line="240" w:lineRule="auto"/>
              <w:jc w:val="center"/>
              <w:rPr>
                <w:rFonts w:ascii="Arial" w:eastAsia="Times New Roman" w:hAnsi="Arial"/>
                <w:b/>
                <w:bCs/>
                <w:sz w:val="20"/>
                <w:szCs w:val="20"/>
                <w:lang w:eastAsia="en-GB"/>
              </w:rPr>
            </w:pPr>
            <w:r w:rsidRPr="00886B3B">
              <w:rPr>
                <w:rFonts w:ascii="Arial" w:eastAsia="Times New Roman" w:hAnsi="Arial"/>
                <w:b/>
                <w:bCs/>
                <w:sz w:val="20"/>
                <w:szCs w:val="20"/>
                <w:lang w:eastAsia="en-GB"/>
              </w:rPr>
              <w:t>Results</w:t>
            </w:r>
          </w:p>
        </w:tc>
        <w:tc>
          <w:tcPr>
            <w:tcW w:w="2251" w:type="pct"/>
            <w:shd w:val="clear" w:color="000000" w:fill="C6D9F1" w:themeFill="text2" w:themeFillTint="33"/>
            <w:noWrap/>
            <w:vAlign w:val="bottom"/>
            <w:hideMark/>
          </w:tcPr>
          <w:p w:rsidR="00886B3B" w:rsidRPr="00886B3B" w:rsidRDefault="00886B3B" w:rsidP="00886B3B">
            <w:pPr>
              <w:spacing w:line="240" w:lineRule="auto"/>
              <w:jc w:val="center"/>
              <w:rPr>
                <w:rFonts w:ascii="Arial" w:eastAsia="Times New Roman" w:hAnsi="Arial"/>
                <w:b/>
                <w:bCs/>
                <w:sz w:val="20"/>
                <w:szCs w:val="20"/>
                <w:lang w:eastAsia="en-GB"/>
              </w:rPr>
            </w:pPr>
            <w:r w:rsidRPr="00886B3B">
              <w:rPr>
                <w:rFonts w:ascii="Arial" w:eastAsia="Times New Roman" w:hAnsi="Arial"/>
                <w:b/>
                <w:bCs/>
                <w:sz w:val="20"/>
                <w:szCs w:val="20"/>
                <w:lang w:eastAsia="en-GB"/>
              </w:rPr>
              <w:t xml:space="preserve">Will  </w:t>
            </w:r>
          </w:p>
          <w:p w:rsidR="00886B3B" w:rsidRPr="00886B3B" w:rsidRDefault="00886B3B" w:rsidP="00886B3B">
            <w:pPr>
              <w:spacing w:line="240" w:lineRule="auto"/>
              <w:jc w:val="center"/>
              <w:rPr>
                <w:rFonts w:ascii="Arial" w:eastAsia="Times New Roman" w:hAnsi="Arial"/>
                <w:b/>
                <w:bCs/>
                <w:sz w:val="20"/>
                <w:szCs w:val="20"/>
                <w:lang w:eastAsia="en-GB"/>
              </w:rPr>
            </w:pPr>
            <w:r w:rsidRPr="00886B3B">
              <w:rPr>
                <w:rFonts w:ascii="Arial" w:eastAsia="Times New Roman" w:hAnsi="Arial"/>
                <w:b/>
                <w:bCs/>
                <w:sz w:val="20"/>
                <w:szCs w:val="20"/>
                <w:lang w:eastAsia="en-GB"/>
              </w:rPr>
              <w:t>Demonstrate</w:t>
            </w:r>
          </w:p>
          <w:p w:rsidR="00886B3B" w:rsidRPr="00886B3B" w:rsidRDefault="00886B3B" w:rsidP="00886B3B">
            <w:pPr>
              <w:spacing w:line="240" w:lineRule="auto"/>
              <w:jc w:val="center"/>
              <w:rPr>
                <w:rFonts w:ascii="Arial" w:eastAsia="Times New Roman" w:hAnsi="Arial"/>
                <w:b/>
                <w:bCs/>
                <w:i/>
                <w:sz w:val="20"/>
                <w:szCs w:val="20"/>
                <w:lang w:eastAsia="en-GB"/>
              </w:rPr>
            </w:pPr>
            <w:r w:rsidRPr="00886B3B">
              <w:rPr>
                <w:rFonts w:ascii="Arial" w:eastAsia="Times New Roman" w:hAnsi="Arial"/>
                <w:b/>
                <w:bCs/>
                <w:i/>
                <w:sz w:val="20"/>
                <w:szCs w:val="20"/>
                <w:lang w:eastAsia="en-GB"/>
              </w:rPr>
              <w:t>Comments</w:t>
            </w:r>
          </w:p>
        </w:tc>
      </w:tr>
      <w:tr w:rsidR="00886B3B" w:rsidRPr="00886B3B" w:rsidTr="00BD5427">
        <w:trPr>
          <w:trHeight w:val="789"/>
        </w:trPr>
        <w:tc>
          <w:tcPr>
            <w:tcW w:w="1949" w:type="pct"/>
            <w:shd w:val="clear" w:color="auto" w:fill="auto"/>
            <w:vAlign w:val="center"/>
            <w:hideMark/>
          </w:tcPr>
          <w:p w:rsidR="00886B3B" w:rsidRPr="00886B3B" w:rsidRDefault="00886B3B" w:rsidP="00886B3B">
            <w:pPr>
              <w:spacing w:line="240" w:lineRule="auto"/>
              <w:rPr>
                <w:rFonts w:ascii="Arial" w:eastAsia="Times New Roman" w:hAnsi="Arial"/>
                <w:sz w:val="20"/>
                <w:szCs w:val="20"/>
                <w:lang w:eastAsia="en-GB"/>
              </w:rPr>
            </w:pPr>
            <w:r w:rsidRPr="00886B3B">
              <w:rPr>
                <w:rFonts w:ascii="Arial" w:eastAsia="Times New Roman" w:hAnsi="Arial"/>
                <w:sz w:val="20"/>
                <w:szCs w:val="20"/>
                <w:lang w:eastAsia="en-GB"/>
              </w:rPr>
              <w:t>E1 Percentage of commenced contracts within the year that have a community benefit (category 7)</w:t>
            </w:r>
          </w:p>
        </w:tc>
        <w:tc>
          <w:tcPr>
            <w:tcW w:w="350" w:type="pct"/>
            <w:shd w:val="clear" w:color="auto" w:fill="auto"/>
            <w:noWrap/>
            <w:vAlign w:val="center"/>
            <w:hideMark/>
          </w:tcPr>
          <w:p w:rsidR="00886B3B" w:rsidRPr="00886B3B" w:rsidRDefault="00886B3B" w:rsidP="00886B3B">
            <w:pPr>
              <w:spacing w:line="240" w:lineRule="auto"/>
              <w:jc w:val="center"/>
              <w:rPr>
                <w:rFonts w:ascii="Arial" w:eastAsia="Times New Roman" w:hAnsi="Arial"/>
                <w:sz w:val="20"/>
                <w:szCs w:val="20"/>
                <w:lang w:eastAsia="en-GB"/>
              </w:rPr>
            </w:pPr>
            <w:r w:rsidRPr="00886B3B">
              <w:rPr>
                <w:rFonts w:ascii="Arial" w:eastAsia="Times New Roman" w:hAnsi="Arial"/>
                <w:sz w:val="20"/>
                <w:szCs w:val="20"/>
                <w:lang w:eastAsia="en-GB"/>
              </w:rPr>
              <w:t>20%</w:t>
            </w:r>
          </w:p>
        </w:tc>
        <w:tc>
          <w:tcPr>
            <w:tcW w:w="450" w:type="pct"/>
          </w:tcPr>
          <w:p w:rsidR="00886B3B" w:rsidRPr="00A32127" w:rsidRDefault="00886B3B" w:rsidP="00886B3B">
            <w:pPr>
              <w:spacing w:line="240" w:lineRule="auto"/>
              <w:jc w:val="center"/>
              <w:rPr>
                <w:rFonts w:ascii="Arial" w:eastAsia="Times New Roman" w:hAnsi="Arial"/>
                <w:color w:val="FF0000"/>
                <w:sz w:val="20"/>
                <w:szCs w:val="20"/>
                <w:lang w:eastAsia="en-GB"/>
              </w:rPr>
            </w:pPr>
          </w:p>
          <w:p w:rsidR="00A554FA" w:rsidRPr="00A554FA" w:rsidRDefault="00A554FA" w:rsidP="00886B3B">
            <w:pPr>
              <w:spacing w:line="240" w:lineRule="auto"/>
              <w:jc w:val="center"/>
              <w:rPr>
                <w:rFonts w:ascii="Arial" w:eastAsia="Times New Roman" w:hAnsi="Arial"/>
                <w:sz w:val="20"/>
                <w:szCs w:val="20"/>
                <w:lang w:eastAsia="en-GB"/>
              </w:rPr>
            </w:pPr>
            <w:r w:rsidRPr="00A554FA">
              <w:rPr>
                <w:rFonts w:ascii="Arial" w:eastAsia="Times New Roman" w:hAnsi="Arial"/>
                <w:sz w:val="20"/>
                <w:szCs w:val="20"/>
                <w:lang w:eastAsia="en-GB"/>
              </w:rPr>
              <w:t>11.36%</w:t>
            </w:r>
          </w:p>
          <w:p w:rsidR="00886B3B" w:rsidRPr="00A32127" w:rsidRDefault="00A554FA" w:rsidP="00886B3B">
            <w:pPr>
              <w:spacing w:line="240" w:lineRule="auto"/>
              <w:jc w:val="center"/>
              <w:rPr>
                <w:rFonts w:ascii="Arial" w:eastAsia="Times New Roman" w:hAnsi="Arial"/>
                <w:color w:val="FF0000"/>
                <w:sz w:val="20"/>
                <w:szCs w:val="20"/>
                <w:lang w:eastAsia="en-GB"/>
              </w:rPr>
            </w:pPr>
            <w:r w:rsidRPr="00A554FA">
              <w:rPr>
                <w:rFonts w:ascii="Arial" w:eastAsia="Times New Roman" w:hAnsi="Arial"/>
                <w:sz w:val="20"/>
                <w:szCs w:val="20"/>
                <w:lang w:eastAsia="en-GB"/>
              </w:rPr>
              <w:t>(</w:t>
            </w:r>
            <w:r w:rsidR="00886B3B" w:rsidRPr="00A554FA">
              <w:rPr>
                <w:rFonts w:ascii="Arial" w:eastAsia="Times New Roman" w:hAnsi="Arial"/>
                <w:sz w:val="20"/>
                <w:szCs w:val="20"/>
                <w:lang w:eastAsia="en-GB"/>
              </w:rPr>
              <w:t>5.83%</w:t>
            </w:r>
            <w:r w:rsidRPr="00A554FA">
              <w:rPr>
                <w:rFonts w:ascii="Arial" w:eastAsia="Times New Roman" w:hAnsi="Arial"/>
                <w:sz w:val="20"/>
                <w:szCs w:val="20"/>
                <w:lang w:eastAsia="en-GB"/>
              </w:rPr>
              <w:t>)</w:t>
            </w:r>
          </w:p>
        </w:tc>
        <w:tc>
          <w:tcPr>
            <w:tcW w:w="2251" w:type="pct"/>
            <w:shd w:val="clear" w:color="auto" w:fill="auto"/>
            <w:noWrap/>
            <w:vAlign w:val="center"/>
            <w:hideMark/>
          </w:tcPr>
          <w:p w:rsidR="00886B3B" w:rsidRPr="00886B3B" w:rsidRDefault="00886B3B" w:rsidP="00886B3B">
            <w:pPr>
              <w:spacing w:line="240" w:lineRule="auto"/>
              <w:rPr>
                <w:rFonts w:ascii="Arial" w:eastAsia="Times New Roman" w:hAnsi="Arial"/>
                <w:i/>
                <w:sz w:val="20"/>
                <w:szCs w:val="20"/>
                <w:lang w:eastAsia="en-GB"/>
              </w:rPr>
            </w:pPr>
            <w:r w:rsidRPr="00886B3B">
              <w:rPr>
                <w:rFonts w:ascii="Arial" w:eastAsia="Times New Roman" w:hAnsi="Arial"/>
                <w:sz w:val="20"/>
                <w:szCs w:val="20"/>
                <w:lang w:eastAsia="en-GB"/>
              </w:rPr>
              <w:t>Sustainable duty performance</w:t>
            </w:r>
          </w:p>
        </w:tc>
      </w:tr>
      <w:tr w:rsidR="00886B3B" w:rsidRPr="00886B3B" w:rsidTr="00BD5427">
        <w:trPr>
          <w:trHeight w:val="751"/>
        </w:trPr>
        <w:tc>
          <w:tcPr>
            <w:tcW w:w="1949" w:type="pct"/>
            <w:shd w:val="clear" w:color="auto" w:fill="auto"/>
            <w:vAlign w:val="center"/>
            <w:hideMark/>
          </w:tcPr>
          <w:p w:rsidR="00886B3B" w:rsidRPr="00886B3B" w:rsidRDefault="00886B3B" w:rsidP="00886B3B">
            <w:pPr>
              <w:spacing w:line="240" w:lineRule="auto"/>
              <w:rPr>
                <w:rFonts w:ascii="Arial" w:eastAsia="Times New Roman" w:hAnsi="Arial"/>
                <w:sz w:val="20"/>
                <w:szCs w:val="20"/>
                <w:lang w:eastAsia="en-GB"/>
              </w:rPr>
            </w:pPr>
            <w:r w:rsidRPr="00886B3B">
              <w:rPr>
                <w:rFonts w:ascii="Arial" w:eastAsia="Times New Roman" w:hAnsi="Arial"/>
                <w:sz w:val="20"/>
                <w:szCs w:val="20"/>
                <w:lang w:eastAsia="en-GB"/>
              </w:rPr>
              <w:t>E2 Percentage of collaborative contracts commenced in the year that have a community benefit (category 7)</w:t>
            </w:r>
          </w:p>
        </w:tc>
        <w:tc>
          <w:tcPr>
            <w:tcW w:w="350" w:type="pct"/>
            <w:shd w:val="clear" w:color="auto" w:fill="auto"/>
            <w:vAlign w:val="center"/>
            <w:hideMark/>
          </w:tcPr>
          <w:p w:rsidR="00886B3B" w:rsidRPr="00886B3B" w:rsidRDefault="00886B3B" w:rsidP="00886B3B">
            <w:pPr>
              <w:spacing w:line="240" w:lineRule="auto"/>
              <w:jc w:val="center"/>
              <w:rPr>
                <w:rFonts w:ascii="Arial" w:eastAsia="Times New Roman" w:hAnsi="Arial"/>
                <w:sz w:val="20"/>
                <w:szCs w:val="20"/>
                <w:lang w:eastAsia="en-GB"/>
              </w:rPr>
            </w:pPr>
            <w:r w:rsidRPr="00886B3B">
              <w:rPr>
                <w:rFonts w:ascii="Arial" w:eastAsia="Times New Roman" w:hAnsi="Arial"/>
                <w:sz w:val="20"/>
                <w:szCs w:val="20"/>
                <w:lang w:eastAsia="en-GB"/>
              </w:rPr>
              <w:t>20%</w:t>
            </w:r>
          </w:p>
        </w:tc>
        <w:tc>
          <w:tcPr>
            <w:tcW w:w="450" w:type="pct"/>
          </w:tcPr>
          <w:p w:rsidR="00A554FA" w:rsidRDefault="00A554FA" w:rsidP="00A554FA">
            <w:pPr>
              <w:spacing w:line="240" w:lineRule="auto"/>
              <w:jc w:val="center"/>
              <w:rPr>
                <w:rFonts w:ascii="Arial" w:eastAsia="Times New Roman" w:hAnsi="Arial"/>
                <w:color w:val="FF0000"/>
                <w:sz w:val="20"/>
                <w:szCs w:val="20"/>
                <w:lang w:eastAsia="en-GB"/>
              </w:rPr>
            </w:pPr>
          </w:p>
          <w:p w:rsidR="00A554FA" w:rsidRPr="00A554FA" w:rsidRDefault="00A554FA" w:rsidP="00A554FA">
            <w:pPr>
              <w:spacing w:line="240" w:lineRule="auto"/>
              <w:jc w:val="center"/>
              <w:rPr>
                <w:rFonts w:ascii="Arial" w:eastAsia="Times New Roman" w:hAnsi="Arial"/>
                <w:sz w:val="20"/>
                <w:szCs w:val="20"/>
                <w:lang w:eastAsia="en-GB"/>
              </w:rPr>
            </w:pPr>
            <w:r w:rsidRPr="00A554FA">
              <w:rPr>
                <w:rFonts w:ascii="Arial" w:eastAsia="Times New Roman" w:hAnsi="Arial"/>
                <w:sz w:val="20"/>
                <w:szCs w:val="20"/>
                <w:lang w:eastAsia="en-GB"/>
              </w:rPr>
              <w:t>6.06%</w:t>
            </w:r>
          </w:p>
          <w:p w:rsidR="00886B3B" w:rsidRPr="00A32127" w:rsidRDefault="00A554FA" w:rsidP="00CC65D9">
            <w:pPr>
              <w:spacing w:line="240" w:lineRule="auto"/>
              <w:jc w:val="center"/>
              <w:rPr>
                <w:rFonts w:ascii="Arial" w:eastAsia="Times New Roman" w:hAnsi="Arial"/>
                <w:color w:val="FF0000"/>
                <w:sz w:val="20"/>
                <w:szCs w:val="20"/>
                <w:lang w:eastAsia="en-GB"/>
              </w:rPr>
            </w:pPr>
            <w:r w:rsidRPr="00A554FA">
              <w:rPr>
                <w:rFonts w:ascii="Arial" w:eastAsia="Times New Roman" w:hAnsi="Arial"/>
                <w:sz w:val="20"/>
                <w:szCs w:val="20"/>
                <w:lang w:eastAsia="en-GB"/>
              </w:rPr>
              <w:t>(</w:t>
            </w:r>
            <w:r w:rsidR="00886B3B" w:rsidRPr="00A554FA">
              <w:rPr>
                <w:rFonts w:ascii="Arial" w:eastAsia="Times New Roman" w:hAnsi="Arial"/>
                <w:sz w:val="20"/>
                <w:szCs w:val="20"/>
                <w:lang w:eastAsia="en-GB"/>
              </w:rPr>
              <w:t>4.58%</w:t>
            </w:r>
            <w:r w:rsidRPr="00A554FA">
              <w:rPr>
                <w:rFonts w:ascii="Arial" w:eastAsia="Times New Roman" w:hAnsi="Arial"/>
                <w:sz w:val="20"/>
                <w:szCs w:val="20"/>
                <w:lang w:eastAsia="en-GB"/>
              </w:rPr>
              <w:t>)</w:t>
            </w:r>
          </w:p>
        </w:tc>
        <w:tc>
          <w:tcPr>
            <w:tcW w:w="2251" w:type="pct"/>
            <w:shd w:val="clear" w:color="auto" w:fill="auto"/>
            <w:noWrap/>
            <w:vAlign w:val="center"/>
            <w:hideMark/>
          </w:tcPr>
          <w:p w:rsidR="00886B3B" w:rsidRPr="00886B3B" w:rsidRDefault="00886B3B" w:rsidP="00886B3B">
            <w:pPr>
              <w:spacing w:line="240" w:lineRule="auto"/>
              <w:rPr>
                <w:rFonts w:ascii="Arial" w:eastAsia="Times New Roman" w:hAnsi="Arial"/>
                <w:sz w:val="20"/>
                <w:szCs w:val="20"/>
                <w:lang w:eastAsia="en-GB"/>
              </w:rPr>
            </w:pPr>
            <w:r w:rsidRPr="00886B3B">
              <w:rPr>
                <w:rFonts w:ascii="Arial" w:eastAsia="Times New Roman" w:hAnsi="Arial"/>
                <w:sz w:val="20"/>
                <w:szCs w:val="20"/>
                <w:lang w:eastAsia="en-GB"/>
              </w:rPr>
              <w:t xml:space="preserve">Sustainable duty performance </w:t>
            </w:r>
          </w:p>
        </w:tc>
      </w:tr>
    </w:tbl>
    <w:p w:rsidR="00162F66" w:rsidRDefault="00162F66" w:rsidP="00886B3B">
      <w:pPr>
        <w:autoSpaceDE w:val="0"/>
        <w:autoSpaceDN w:val="0"/>
        <w:adjustRightInd w:val="0"/>
        <w:spacing w:line="240" w:lineRule="auto"/>
        <w:rPr>
          <w:rFonts w:ascii="Arial" w:hAnsi="Arial"/>
          <w:color w:val="000000"/>
        </w:rPr>
      </w:pPr>
    </w:p>
    <w:p w:rsidR="00162F66" w:rsidRDefault="00162F66" w:rsidP="00886B3B">
      <w:pPr>
        <w:autoSpaceDE w:val="0"/>
        <w:autoSpaceDN w:val="0"/>
        <w:adjustRightInd w:val="0"/>
        <w:spacing w:line="240" w:lineRule="auto"/>
        <w:rPr>
          <w:rFonts w:ascii="Arial" w:hAnsi="Arial"/>
          <w:color w:val="000000"/>
        </w:rPr>
      </w:pPr>
    </w:p>
    <w:p w:rsidR="00162F66" w:rsidRPr="00886B3B" w:rsidRDefault="00162F66" w:rsidP="00886B3B">
      <w:pPr>
        <w:autoSpaceDE w:val="0"/>
        <w:autoSpaceDN w:val="0"/>
        <w:adjustRightInd w:val="0"/>
        <w:spacing w:line="240" w:lineRule="auto"/>
        <w:rPr>
          <w:rFonts w:ascii="Arial" w:hAnsi="Arial"/>
          <w:color w:val="000000"/>
        </w:rPr>
      </w:pPr>
    </w:p>
    <w:p w:rsidR="00886B3B" w:rsidRPr="00886B3B" w:rsidRDefault="00886B3B" w:rsidP="00886B3B">
      <w:pPr>
        <w:numPr>
          <w:ilvl w:val="0"/>
          <w:numId w:val="1"/>
        </w:numPr>
        <w:autoSpaceDE w:val="0"/>
        <w:autoSpaceDN w:val="0"/>
        <w:adjustRightInd w:val="0"/>
        <w:spacing w:after="200" w:line="240" w:lineRule="auto"/>
        <w:ind w:hanging="720"/>
        <w:contextualSpacing/>
        <w:rPr>
          <w:rFonts w:ascii="Arial" w:hAnsi="Arial"/>
        </w:rPr>
      </w:pPr>
      <w:r w:rsidRPr="00886B3B">
        <w:rPr>
          <w:rFonts w:ascii="Arial" w:hAnsi="Arial"/>
          <w:b/>
          <w:bCs/>
          <w:color w:val="000000"/>
        </w:rPr>
        <w:t xml:space="preserve">Sustainability </w:t>
      </w:r>
    </w:p>
    <w:p w:rsidR="00886B3B" w:rsidRPr="00886B3B" w:rsidRDefault="00886B3B" w:rsidP="00886B3B">
      <w:pPr>
        <w:autoSpaceDE w:val="0"/>
        <w:autoSpaceDN w:val="0"/>
        <w:adjustRightInd w:val="0"/>
        <w:spacing w:line="240" w:lineRule="auto"/>
        <w:ind w:left="720"/>
        <w:contextualSpacing/>
        <w:rPr>
          <w:rFonts w:ascii="Arial" w:hAnsi="Arial"/>
        </w:rPr>
      </w:pPr>
    </w:p>
    <w:tbl>
      <w:tblPr>
        <w:tblW w:w="141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1"/>
        <w:gridCol w:w="992"/>
        <w:gridCol w:w="1276"/>
        <w:gridCol w:w="6491"/>
      </w:tblGrid>
      <w:tr w:rsidR="00886B3B" w:rsidRPr="00886B3B" w:rsidTr="00A32127">
        <w:trPr>
          <w:trHeight w:val="538"/>
        </w:trPr>
        <w:tc>
          <w:tcPr>
            <w:tcW w:w="5431" w:type="dxa"/>
            <w:shd w:val="clear" w:color="000000" w:fill="C6D9F1" w:themeFill="text2" w:themeFillTint="33"/>
            <w:vAlign w:val="center"/>
            <w:hideMark/>
          </w:tcPr>
          <w:p w:rsidR="00886B3B" w:rsidRPr="00886B3B" w:rsidRDefault="00886B3B" w:rsidP="00886B3B">
            <w:pPr>
              <w:spacing w:line="240" w:lineRule="auto"/>
              <w:jc w:val="center"/>
              <w:rPr>
                <w:rFonts w:ascii="Arial" w:eastAsia="Times New Roman" w:hAnsi="Arial"/>
                <w:b/>
                <w:bCs/>
                <w:sz w:val="20"/>
                <w:szCs w:val="20"/>
                <w:lang w:eastAsia="en-GB"/>
              </w:rPr>
            </w:pPr>
            <w:r w:rsidRPr="00886B3B">
              <w:rPr>
                <w:rFonts w:ascii="Arial" w:eastAsia="Times New Roman" w:hAnsi="Arial"/>
                <w:b/>
                <w:bCs/>
                <w:sz w:val="20"/>
                <w:szCs w:val="20"/>
                <w:lang w:eastAsia="en-GB"/>
              </w:rPr>
              <w:t>The measure</w:t>
            </w:r>
          </w:p>
        </w:tc>
        <w:tc>
          <w:tcPr>
            <w:tcW w:w="992" w:type="dxa"/>
            <w:shd w:val="clear" w:color="000000" w:fill="C6D9F1" w:themeFill="text2" w:themeFillTint="33"/>
            <w:noWrap/>
            <w:vAlign w:val="bottom"/>
            <w:hideMark/>
          </w:tcPr>
          <w:p w:rsidR="00886B3B" w:rsidRPr="00886B3B" w:rsidRDefault="00886B3B" w:rsidP="00886B3B">
            <w:pPr>
              <w:spacing w:line="240" w:lineRule="auto"/>
              <w:jc w:val="center"/>
              <w:rPr>
                <w:rFonts w:ascii="Arial" w:eastAsia="Times New Roman" w:hAnsi="Arial"/>
                <w:b/>
                <w:bCs/>
                <w:sz w:val="20"/>
                <w:szCs w:val="20"/>
                <w:lang w:eastAsia="en-GB"/>
              </w:rPr>
            </w:pPr>
            <w:r w:rsidRPr="00886B3B">
              <w:rPr>
                <w:rFonts w:ascii="Arial" w:eastAsia="Times New Roman" w:hAnsi="Arial"/>
                <w:b/>
                <w:bCs/>
                <w:sz w:val="20"/>
                <w:szCs w:val="20"/>
                <w:lang w:eastAsia="en-GB"/>
              </w:rPr>
              <w:t>2018/19</w:t>
            </w:r>
          </w:p>
          <w:p w:rsidR="00886B3B" w:rsidRPr="00886B3B" w:rsidRDefault="00886B3B" w:rsidP="00886B3B">
            <w:pPr>
              <w:spacing w:line="240" w:lineRule="auto"/>
              <w:jc w:val="center"/>
              <w:rPr>
                <w:rFonts w:ascii="Arial" w:eastAsia="Times New Roman" w:hAnsi="Arial"/>
                <w:b/>
                <w:bCs/>
                <w:sz w:val="20"/>
                <w:szCs w:val="20"/>
                <w:lang w:eastAsia="en-GB"/>
              </w:rPr>
            </w:pPr>
            <w:r w:rsidRPr="00886B3B">
              <w:rPr>
                <w:rFonts w:ascii="Arial" w:eastAsia="Times New Roman" w:hAnsi="Arial"/>
                <w:b/>
                <w:bCs/>
                <w:sz w:val="20"/>
                <w:szCs w:val="20"/>
                <w:lang w:eastAsia="en-GB"/>
              </w:rPr>
              <w:t>Target</w:t>
            </w:r>
          </w:p>
        </w:tc>
        <w:tc>
          <w:tcPr>
            <w:tcW w:w="1276" w:type="dxa"/>
            <w:shd w:val="clear" w:color="000000" w:fill="C6D9F1" w:themeFill="text2" w:themeFillTint="33"/>
          </w:tcPr>
          <w:p w:rsidR="00886B3B" w:rsidRPr="00886B3B" w:rsidRDefault="00886B3B" w:rsidP="00886B3B">
            <w:pPr>
              <w:spacing w:line="240" w:lineRule="auto"/>
              <w:jc w:val="center"/>
              <w:rPr>
                <w:rFonts w:ascii="Arial" w:eastAsia="Times New Roman" w:hAnsi="Arial"/>
                <w:b/>
                <w:bCs/>
                <w:sz w:val="20"/>
                <w:szCs w:val="20"/>
                <w:lang w:eastAsia="en-GB"/>
              </w:rPr>
            </w:pPr>
            <w:r w:rsidRPr="00886B3B">
              <w:rPr>
                <w:rFonts w:ascii="Arial" w:eastAsia="Times New Roman" w:hAnsi="Arial"/>
                <w:b/>
                <w:bCs/>
                <w:sz w:val="20"/>
                <w:szCs w:val="20"/>
                <w:lang w:eastAsia="en-GB"/>
              </w:rPr>
              <w:t>2018/19</w:t>
            </w:r>
          </w:p>
          <w:p w:rsidR="00886B3B" w:rsidRPr="00886B3B" w:rsidRDefault="00886B3B" w:rsidP="00886B3B">
            <w:pPr>
              <w:spacing w:line="240" w:lineRule="auto"/>
              <w:jc w:val="center"/>
              <w:rPr>
                <w:rFonts w:ascii="Arial" w:eastAsia="Times New Roman" w:hAnsi="Arial"/>
                <w:b/>
                <w:bCs/>
                <w:sz w:val="20"/>
                <w:szCs w:val="20"/>
                <w:lang w:eastAsia="en-GB"/>
              </w:rPr>
            </w:pPr>
            <w:r w:rsidRPr="00886B3B">
              <w:rPr>
                <w:rFonts w:ascii="Arial" w:eastAsia="Times New Roman" w:hAnsi="Arial"/>
                <w:b/>
                <w:bCs/>
                <w:sz w:val="20"/>
                <w:szCs w:val="20"/>
                <w:lang w:eastAsia="en-GB"/>
              </w:rPr>
              <w:t>(2017/18)</w:t>
            </w:r>
          </w:p>
          <w:p w:rsidR="00886B3B" w:rsidRPr="00886B3B" w:rsidRDefault="00886B3B" w:rsidP="00886B3B">
            <w:pPr>
              <w:spacing w:line="240" w:lineRule="auto"/>
              <w:jc w:val="center"/>
              <w:rPr>
                <w:rFonts w:ascii="Arial" w:eastAsia="Times New Roman" w:hAnsi="Arial"/>
                <w:b/>
                <w:bCs/>
                <w:sz w:val="20"/>
                <w:szCs w:val="20"/>
                <w:lang w:eastAsia="en-GB"/>
              </w:rPr>
            </w:pPr>
            <w:r w:rsidRPr="00886B3B">
              <w:rPr>
                <w:rFonts w:ascii="Arial" w:eastAsia="Times New Roman" w:hAnsi="Arial"/>
                <w:b/>
                <w:bCs/>
                <w:sz w:val="20"/>
                <w:szCs w:val="20"/>
                <w:lang w:eastAsia="en-GB"/>
              </w:rPr>
              <w:t>Results</w:t>
            </w:r>
          </w:p>
        </w:tc>
        <w:tc>
          <w:tcPr>
            <w:tcW w:w="6491" w:type="dxa"/>
            <w:shd w:val="clear" w:color="000000" w:fill="C6D9F1" w:themeFill="text2" w:themeFillTint="33"/>
            <w:noWrap/>
            <w:vAlign w:val="bottom"/>
            <w:hideMark/>
          </w:tcPr>
          <w:p w:rsidR="00886B3B" w:rsidRPr="00886B3B" w:rsidRDefault="00886B3B" w:rsidP="00886B3B">
            <w:pPr>
              <w:spacing w:line="240" w:lineRule="auto"/>
              <w:jc w:val="center"/>
              <w:rPr>
                <w:rFonts w:ascii="Arial" w:eastAsia="Times New Roman" w:hAnsi="Arial"/>
                <w:b/>
                <w:bCs/>
                <w:sz w:val="20"/>
                <w:szCs w:val="20"/>
                <w:lang w:eastAsia="en-GB"/>
              </w:rPr>
            </w:pPr>
            <w:r w:rsidRPr="00886B3B">
              <w:rPr>
                <w:rFonts w:ascii="Arial" w:eastAsia="Times New Roman" w:hAnsi="Arial"/>
                <w:b/>
                <w:bCs/>
                <w:sz w:val="20"/>
                <w:szCs w:val="20"/>
                <w:lang w:eastAsia="en-GB"/>
              </w:rPr>
              <w:t xml:space="preserve">Will </w:t>
            </w:r>
          </w:p>
          <w:p w:rsidR="00886B3B" w:rsidRPr="00886B3B" w:rsidRDefault="00886B3B" w:rsidP="00886B3B">
            <w:pPr>
              <w:spacing w:line="240" w:lineRule="auto"/>
              <w:jc w:val="center"/>
              <w:rPr>
                <w:rFonts w:ascii="Arial" w:eastAsia="Times New Roman" w:hAnsi="Arial"/>
                <w:b/>
                <w:bCs/>
                <w:sz w:val="20"/>
                <w:szCs w:val="20"/>
                <w:lang w:eastAsia="en-GB"/>
              </w:rPr>
            </w:pPr>
            <w:r w:rsidRPr="00886B3B">
              <w:rPr>
                <w:rFonts w:ascii="Arial" w:eastAsia="Times New Roman" w:hAnsi="Arial"/>
                <w:b/>
                <w:bCs/>
                <w:sz w:val="20"/>
                <w:szCs w:val="20"/>
                <w:lang w:eastAsia="en-GB"/>
              </w:rPr>
              <w:t>Demonstrate</w:t>
            </w:r>
          </w:p>
          <w:p w:rsidR="00886B3B" w:rsidRPr="00886B3B" w:rsidRDefault="00886B3B" w:rsidP="00886B3B">
            <w:pPr>
              <w:spacing w:line="240" w:lineRule="auto"/>
              <w:jc w:val="center"/>
              <w:rPr>
                <w:rFonts w:ascii="Arial" w:eastAsia="Times New Roman" w:hAnsi="Arial"/>
                <w:b/>
                <w:bCs/>
                <w:i/>
                <w:sz w:val="20"/>
                <w:szCs w:val="20"/>
                <w:lang w:eastAsia="en-GB"/>
              </w:rPr>
            </w:pPr>
            <w:r w:rsidRPr="00886B3B">
              <w:rPr>
                <w:rFonts w:ascii="Arial" w:eastAsia="Times New Roman" w:hAnsi="Arial"/>
                <w:b/>
                <w:bCs/>
                <w:i/>
                <w:sz w:val="20"/>
                <w:szCs w:val="20"/>
                <w:lang w:eastAsia="en-GB"/>
              </w:rPr>
              <w:t>Comments</w:t>
            </w:r>
          </w:p>
        </w:tc>
      </w:tr>
      <w:tr w:rsidR="00886B3B" w:rsidRPr="00886B3B" w:rsidTr="00A32127">
        <w:trPr>
          <w:trHeight w:val="789"/>
        </w:trPr>
        <w:tc>
          <w:tcPr>
            <w:tcW w:w="5431" w:type="dxa"/>
            <w:shd w:val="clear" w:color="auto" w:fill="auto"/>
            <w:vAlign w:val="center"/>
            <w:hideMark/>
          </w:tcPr>
          <w:p w:rsidR="00886B3B" w:rsidRPr="00886B3B" w:rsidRDefault="00886B3B" w:rsidP="00886B3B">
            <w:pPr>
              <w:spacing w:line="240" w:lineRule="auto"/>
              <w:rPr>
                <w:rFonts w:ascii="Arial" w:eastAsia="Times New Roman" w:hAnsi="Arial"/>
                <w:sz w:val="20"/>
                <w:szCs w:val="20"/>
                <w:lang w:eastAsia="en-GB"/>
              </w:rPr>
            </w:pPr>
            <w:r w:rsidRPr="00886B3B">
              <w:rPr>
                <w:rFonts w:ascii="Arial" w:eastAsia="Times New Roman" w:hAnsi="Arial"/>
                <w:sz w:val="20"/>
                <w:szCs w:val="20"/>
                <w:lang w:eastAsia="en-GB"/>
              </w:rPr>
              <w:t>F1 Percentage of contracts commenced in the year that have incorporated a sustainable target (category 5)</w:t>
            </w:r>
          </w:p>
        </w:tc>
        <w:tc>
          <w:tcPr>
            <w:tcW w:w="992" w:type="dxa"/>
            <w:shd w:val="clear" w:color="auto" w:fill="auto"/>
            <w:noWrap/>
            <w:vAlign w:val="center"/>
            <w:hideMark/>
          </w:tcPr>
          <w:p w:rsidR="00886B3B" w:rsidRPr="00886B3B" w:rsidRDefault="00886B3B" w:rsidP="00886B3B">
            <w:pPr>
              <w:spacing w:line="240" w:lineRule="auto"/>
              <w:jc w:val="center"/>
              <w:rPr>
                <w:rFonts w:ascii="Arial" w:eastAsia="Times New Roman" w:hAnsi="Arial"/>
                <w:sz w:val="20"/>
                <w:szCs w:val="20"/>
                <w:lang w:eastAsia="en-GB"/>
              </w:rPr>
            </w:pPr>
            <w:r w:rsidRPr="00886B3B">
              <w:rPr>
                <w:rFonts w:ascii="Arial" w:eastAsia="Times New Roman" w:hAnsi="Arial"/>
                <w:sz w:val="20"/>
                <w:szCs w:val="20"/>
                <w:lang w:eastAsia="en-GB"/>
              </w:rPr>
              <w:t>20%</w:t>
            </w:r>
          </w:p>
        </w:tc>
        <w:tc>
          <w:tcPr>
            <w:tcW w:w="1276" w:type="dxa"/>
          </w:tcPr>
          <w:p w:rsidR="00187C87" w:rsidRDefault="00187C87" w:rsidP="00886B3B">
            <w:pPr>
              <w:spacing w:line="240" w:lineRule="auto"/>
              <w:jc w:val="center"/>
              <w:rPr>
                <w:rFonts w:ascii="Arial" w:eastAsia="Times New Roman" w:hAnsi="Arial"/>
                <w:color w:val="FF0000"/>
                <w:sz w:val="20"/>
                <w:szCs w:val="20"/>
                <w:lang w:eastAsia="en-GB"/>
              </w:rPr>
            </w:pPr>
          </w:p>
          <w:p w:rsidR="00886B3B" w:rsidRPr="00BC49A4" w:rsidRDefault="00187C87" w:rsidP="00886B3B">
            <w:pPr>
              <w:spacing w:line="240" w:lineRule="auto"/>
              <w:jc w:val="center"/>
              <w:rPr>
                <w:rFonts w:ascii="Arial" w:eastAsia="Times New Roman" w:hAnsi="Arial"/>
                <w:sz w:val="20"/>
                <w:szCs w:val="20"/>
                <w:lang w:eastAsia="en-GB"/>
              </w:rPr>
            </w:pPr>
            <w:r w:rsidRPr="00BC49A4">
              <w:rPr>
                <w:rFonts w:ascii="Arial" w:eastAsia="Times New Roman" w:hAnsi="Arial"/>
                <w:sz w:val="20"/>
                <w:szCs w:val="20"/>
                <w:lang w:eastAsia="en-GB"/>
              </w:rPr>
              <w:t>7.58%</w:t>
            </w:r>
          </w:p>
          <w:p w:rsidR="00886B3B" w:rsidRPr="00BC49A4" w:rsidRDefault="00187C87" w:rsidP="00886B3B">
            <w:pPr>
              <w:spacing w:line="240" w:lineRule="auto"/>
              <w:jc w:val="center"/>
              <w:rPr>
                <w:rFonts w:ascii="Arial" w:eastAsia="Times New Roman" w:hAnsi="Arial"/>
                <w:sz w:val="20"/>
                <w:szCs w:val="20"/>
                <w:lang w:eastAsia="en-GB"/>
              </w:rPr>
            </w:pPr>
            <w:r w:rsidRPr="00BC49A4">
              <w:rPr>
                <w:rFonts w:ascii="Arial" w:eastAsia="Times New Roman" w:hAnsi="Arial"/>
                <w:sz w:val="20"/>
                <w:szCs w:val="20"/>
                <w:lang w:eastAsia="en-GB"/>
              </w:rPr>
              <w:t>(</w:t>
            </w:r>
            <w:r w:rsidR="00886B3B" w:rsidRPr="00BC49A4">
              <w:rPr>
                <w:rFonts w:ascii="Arial" w:eastAsia="Times New Roman" w:hAnsi="Arial"/>
                <w:sz w:val="20"/>
                <w:szCs w:val="20"/>
                <w:lang w:eastAsia="en-GB"/>
              </w:rPr>
              <w:t>6.25%</w:t>
            </w:r>
            <w:r w:rsidRPr="00BC49A4">
              <w:rPr>
                <w:rFonts w:ascii="Arial" w:eastAsia="Times New Roman" w:hAnsi="Arial"/>
                <w:sz w:val="20"/>
                <w:szCs w:val="20"/>
                <w:lang w:eastAsia="en-GB"/>
              </w:rPr>
              <w:t>)</w:t>
            </w:r>
          </w:p>
          <w:p w:rsidR="00886B3B" w:rsidRPr="00A32127" w:rsidRDefault="00886B3B" w:rsidP="00187C87">
            <w:pPr>
              <w:spacing w:line="240" w:lineRule="auto"/>
              <w:rPr>
                <w:rFonts w:ascii="Arial" w:eastAsia="Times New Roman" w:hAnsi="Arial"/>
                <w:color w:val="FF0000"/>
                <w:sz w:val="20"/>
                <w:szCs w:val="20"/>
                <w:lang w:eastAsia="en-GB"/>
              </w:rPr>
            </w:pPr>
          </w:p>
          <w:p w:rsidR="00886B3B" w:rsidRPr="00A32127" w:rsidRDefault="00886B3B" w:rsidP="00886B3B">
            <w:pPr>
              <w:spacing w:line="240" w:lineRule="auto"/>
              <w:jc w:val="center"/>
              <w:rPr>
                <w:rFonts w:ascii="Arial" w:eastAsia="Times New Roman" w:hAnsi="Arial"/>
                <w:color w:val="FF0000"/>
                <w:sz w:val="20"/>
                <w:szCs w:val="20"/>
                <w:lang w:eastAsia="en-GB"/>
              </w:rPr>
            </w:pPr>
          </w:p>
        </w:tc>
        <w:tc>
          <w:tcPr>
            <w:tcW w:w="6491" w:type="dxa"/>
            <w:shd w:val="clear" w:color="auto" w:fill="auto"/>
            <w:noWrap/>
            <w:vAlign w:val="center"/>
            <w:hideMark/>
          </w:tcPr>
          <w:p w:rsidR="00CC65D9" w:rsidRDefault="00CC65D9" w:rsidP="00886B3B">
            <w:pPr>
              <w:spacing w:line="240" w:lineRule="auto"/>
              <w:rPr>
                <w:rFonts w:ascii="Arial" w:eastAsia="Times New Roman" w:hAnsi="Arial"/>
                <w:sz w:val="20"/>
                <w:szCs w:val="20"/>
                <w:lang w:eastAsia="en-GB"/>
              </w:rPr>
            </w:pPr>
          </w:p>
          <w:p w:rsidR="00886B3B" w:rsidRDefault="00886B3B" w:rsidP="00886B3B">
            <w:pPr>
              <w:spacing w:line="240" w:lineRule="auto"/>
              <w:rPr>
                <w:rFonts w:ascii="Arial" w:eastAsia="Times New Roman" w:hAnsi="Arial"/>
                <w:sz w:val="20"/>
                <w:szCs w:val="20"/>
                <w:lang w:eastAsia="en-GB"/>
              </w:rPr>
            </w:pPr>
            <w:r w:rsidRPr="00886B3B">
              <w:rPr>
                <w:rFonts w:ascii="Arial" w:eastAsia="Times New Roman" w:hAnsi="Arial"/>
                <w:sz w:val="20"/>
                <w:szCs w:val="20"/>
                <w:lang w:eastAsia="en-GB"/>
              </w:rPr>
              <w:t xml:space="preserve">Sustainable duty performance </w:t>
            </w:r>
          </w:p>
          <w:p w:rsidR="006974E5" w:rsidRDefault="006974E5" w:rsidP="00886B3B">
            <w:pPr>
              <w:spacing w:line="240" w:lineRule="auto"/>
              <w:rPr>
                <w:rFonts w:ascii="Arial" w:eastAsia="Times New Roman" w:hAnsi="Arial"/>
                <w:sz w:val="20"/>
                <w:szCs w:val="20"/>
                <w:lang w:eastAsia="en-GB"/>
              </w:rPr>
            </w:pPr>
            <w:r>
              <w:rPr>
                <w:rFonts w:ascii="Arial" w:eastAsia="Times New Roman" w:hAnsi="Arial"/>
                <w:sz w:val="20"/>
                <w:szCs w:val="20"/>
                <w:lang w:eastAsia="en-GB"/>
              </w:rPr>
              <w:t xml:space="preserve">Very few of our locally developed contracts are suitable for a sustainable target (cat 5 environmental).  </w:t>
            </w:r>
            <w:r w:rsidR="00C4484E">
              <w:rPr>
                <w:rFonts w:ascii="Arial" w:eastAsia="Times New Roman" w:hAnsi="Arial"/>
                <w:sz w:val="20"/>
                <w:szCs w:val="20"/>
                <w:lang w:eastAsia="en-GB"/>
              </w:rPr>
              <w:t>However with the new focus on climate change issues and the potential for a wider range of potential areas to target we expect this to improve</w:t>
            </w:r>
            <w:r w:rsidR="00CC65D9">
              <w:rPr>
                <w:rFonts w:ascii="Arial" w:eastAsia="Times New Roman" w:hAnsi="Arial"/>
                <w:sz w:val="20"/>
                <w:szCs w:val="20"/>
                <w:lang w:eastAsia="en-GB"/>
              </w:rPr>
              <w:t>.</w:t>
            </w:r>
          </w:p>
          <w:p w:rsidR="00CC65D9" w:rsidRPr="00886B3B" w:rsidRDefault="00CC65D9" w:rsidP="00886B3B">
            <w:pPr>
              <w:spacing w:line="240" w:lineRule="auto"/>
              <w:rPr>
                <w:rFonts w:ascii="Arial" w:eastAsia="Times New Roman" w:hAnsi="Arial"/>
                <w:sz w:val="20"/>
                <w:szCs w:val="20"/>
                <w:lang w:eastAsia="en-GB"/>
              </w:rPr>
            </w:pPr>
          </w:p>
        </w:tc>
      </w:tr>
      <w:tr w:rsidR="00886B3B" w:rsidRPr="00886B3B" w:rsidTr="00A32127">
        <w:trPr>
          <w:trHeight w:val="751"/>
        </w:trPr>
        <w:tc>
          <w:tcPr>
            <w:tcW w:w="5431" w:type="dxa"/>
            <w:shd w:val="clear" w:color="auto" w:fill="auto"/>
            <w:vAlign w:val="center"/>
            <w:hideMark/>
          </w:tcPr>
          <w:p w:rsidR="00886B3B" w:rsidRPr="00886B3B" w:rsidRDefault="00886B3B" w:rsidP="00886B3B">
            <w:pPr>
              <w:spacing w:line="240" w:lineRule="auto"/>
              <w:rPr>
                <w:rFonts w:ascii="Arial" w:eastAsia="Times New Roman" w:hAnsi="Arial"/>
                <w:sz w:val="20"/>
                <w:szCs w:val="20"/>
                <w:lang w:eastAsia="en-GB"/>
              </w:rPr>
            </w:pPr>
            <w:r w:rsidRPr="00886B3B">
              <w:rPr>
                <w:rFonts w:ascii="Arial" w:eastAsia="Times New Roman" w:hAnsi="Arial"/>
                <w:sz w:val="20"/>
                <w:szCs w:val="20"/>
                <w:lang w:eastAsia="en-GB"/>
              </w:rPr>
              <w:t>F2 Score on Flexible Framework</w:t>
            </w:r>
          </w:p>
        </w:tc>
        <w:tc>
          <w:tcPr>
            <w:tcW w:w="992" w:type="dxa"/>
            <w:shd w:val="clear" w:color="auto" w:fill="auto"/>
            <w:vAlign w:val="center"/>
            <w:hideMark/>
          </w:tcPr>
          <w:p w:rsidR="00886B3B" w:rsidRPr="00886B3B" w:rsidRDefault="00886B3B" w:rsidP="00886B3B">
            <w:pPr>
              <w:spacing w:line="240" w:lineRule="auto"/>
              <w:jc w:val="center"/>
              <w:rPr>
                <w:rFonts w:ascii="Arial" w:eastAsia="Times New Roman" w:hAnsi="Arial"/>
                <w:sz w:val="20"/>
                <w:szCs w:val="20"/>
                <w:lang w:eastAsia="en-GB"/>
              </w:rPr>
            </w:pPr>
            <w:r w:rsidRPr="00886B3B">
              <w:rPr>
                <w:rFonts w:ascii="Arial" w:eastAsia="Times New Roman" w:hAnsi="Arial"/>
                <w:sz w:val="20"/>
                <w:szCs w:val="20"/>
                <w:lang w:eastAsia="en-GB"/>
              </w:rPr>
              <w:t>Level 3</w:t>
            </w:r>
          </w:p>
        </w:tc>
        <w:tc>
          <w:tcPr>
            <w:tcW w:w="1276" w:type="dxa"/>
          </w:tcPr>
          <w:p w:rsidR="00886B3B" w:rsidRPr="00A32127" w:rsidRDefault="00886B3B" w:rsidP="00886B3B">
            <w:pPr>
              <w:spacing w:line="240" w:lineRule="auto"/>
              <w:jc w:val="center"/>
              <w:rPr>
                <w:rFonts w:ascii="Arial" w:eastAsia="Times New Roman" w:hAnsi="Arial"/>
                <w:color w:val="FF0000"/>
                <w:sz w:val="20"/>
                <w:szCs w:val="20"/>
                <w:lang w:eastAsia="en-GB"/>
              </w:rPr>
            </w:pPr>
          </w:p>
          <w:p w:rsidR="00886B3B" w:rsidRPr="00A32127" w:rsidRDefault="00886B3B" w:rsidP="00BC49A4">
            <w:pPr>
              <w:spacing w:line="240" w:lineRule="auto"/>
              <w:jc w:val="center"/>
              <w:rPr>
                <w:rFonts w:ascii="Arial" w:eastAsia="Times New Roman" w:hAnsi="Arial"/>
                <w:color w:val="FF0000"/>
                <w:sz w:val="20"/>
                <w:szCs w:val="20"/>
                <w:lang w:eastAsia="en-GB"/>
              </w:rPr>
            </w:pPr>
            <w:r w:rsidRPr="00187C87">
              <w:rPr>
                <w:rFonts w:ascii="Arial" w:eastAsia="Times New Roman" w:hAnsi="Arial"/>
                <w:sz w:val="20"/>
                <w:szCs w:val="20"/>
                <w:lang w:eastAsia="en-GB"/>
              </w:rPr>
              <w:t>(Level 3)</w:t>
            </w:r>
          </w:p>
        </w:tc>
        <w:tc>
          <w:tcPr>
            <w:tcW w:w="6491" w:type="dxa"/>
            <w:shd w:val="clear" w:color="auto" w:fill="auto"/>
            <w:noWrap/>
            <w:vAlign w:val="center"/>
            <w:hideMark/>
          </w:tcPr>
          <w:p w:rsidR="00886B3B" w:rsidRPr="00886B3B" w:rsidRDefault="00886B3B" w:rsidP="00886B3B">
            <w:pPr>
              <w:spacing w:line="240" w:lineRule="auto"/>
              <w:rPr>
                <w:rFonts w:ascii="Arial" w:eastAsia="Times New Roman" w:hAnsi="Arial"/>
                <w:sz w:val="20"/>
                <w:szCs w:val="20"/>
                <w:lang w:eastAsia="en-GB"/>
              </w:rPr>
            </w:pPr>
            <w:r w:rsidRPr="00886B3B">
              <w:rPr>
                <w:rFonts w:ascii="Arial" w:eastAsia="Times New Roman" w:hAnsi="Arial"/>
                <w:sz w:val="20"/>
                <w:szCs w:val="20"/>
                <w:lang w:eastAsia="en-GB"/>
              </w:rPr>
              <w:t xml:space="preserve">Sustainable duty performance </w:t>
            </w:r>
          </w:p>
          <w:p w:rsidR="00886B3B" w:rsidRPr="00886B3B" w:rsidRDefault="00886B3B" w:rsidP="00886B3B">
            <w:pPr>
              <w:spacing w:line="240" w:lineRule="auto"/>
              <w:rPr>
                <w:rFonts w:ascii="Arial" w:eastAsia="Times New Roman" w:hAnsi="Arial"/>
                <w:i/>
                <w:sz w:val="20"/>
                <w:szCs w:val="20"/>
                <w:lang w:eastAsia="en-GB"/>
              </w:rPr>
            </w:pPr>
          </w:p>
        </w:tc>
      </w:tr>
      <w:tr w:rsidR="00886B3B" w:rsidRPr="00886B3B" w:rsidTr="00A32127">
        <w:trPr>
          <w:trHeight w:val="392"/>
        </w:trPr>
        <w:tc>
          <w:tcPr>
            <w:tcW w:w="5431" w:type="dxa"/>
            <w:shd w:val="clear" w:color="auto" w:fill="auto"/>
            <w:vAlign w:val="center"/>
          </w:tcPr>
          <w:p w:rsidR="00886B3B" w:rsidRPr="00886B3B" w:rsidRDefault="00886B3B" w:rsidP="00886B3B">
            <w:pPr>
              <w:spacing w:line="240" w:lineRule="auto"/>
              <w:rPr>
                <w:rFonts w:ascii="Arial" w:eastAsia="Times New Roman" w:hAnsi="Arial"/>
                <w:sz w:val="20"/>
                <w:szCs w:val="20"/>
                <w:lang w:eastAsia="en-GB"/>
              </w:rPr>
            </w:pPr>
          </w:p>
          <w:p w:rsidR="00886B3B" w:rsidRPr="00886B3B" w:rsidRDefault="00886B3B" w:rsidP="00886B3B">
            <w:pPr>
              <w:spacing w:line="240" w:lineRule="auto"/>
              <w:rPr>
                <w:rFonts w:ascii="Arial" w:eastAsia="Times New Roman" w:hAnsi="Arial"/>
                <w:sz w:val="20"/>
                <w:szCs w:val="20"/>
                <w:lang w:eastAsia="en-GB"/>
              </w:rPr>
            </w:pPr>
            <w:r w:rsidRPr="00886B3B">
              <w:rPr>
                <w:rFonts w:ascii="Arial" w:eastAsia="Times New Roman" w:hAnsi="Arial"/>
                <w:sz w:val="20"/>
                <w:szCs w:val="20"/>
                <w:lang w:eastAsia="en-GB"/>
              </w:rPr>
              <w:t>F3 Prioritisation tool used to assess Service priorities</w:t>
            </w:r>
          </w:p>
          <w:p w:rsidR="00886B3B" w:rsidRPr="00886B3B" w:rsidRDefault="00886B3B" w:rsidP="00886B3B">
            <w:pPr>
              <w:spacing w:line="240" w:lineRule="auto"/>
              <w:rPr>
                <w:rFonts w:ascii="Arial" w:eastAsia="Times New Roman" w:hAnsi="Arial"/>
                <w:sz w:val="20"/>
                <w:szCs w:val="20"/>
                <w:lang w:eastAsia="en-GB"/>
              </w:rPr>
            </w:pPr>
          </w:p>
        </w:tc>
        <w:tc>
          <w:tcPr>
            <w:tcW w:w="992" w:type="dxa"/>
            <w:shd w:val="clear" w:color="auto" w:fill="auto"/>
            <w:vAlign w:val="center"/>
          </w:tcPr>
          <w:p w:rsidR="00886B3B" w:rsidRPr="00886B3B" w:rsidRDefault="00886B3B" w:rsidP="00886B3B">
            <w:pPr>
              <w:spacing w:line="240" w:lineRule="auto"/>
              <w:jc w:val="center"/>
              <w:rPr>
                <w:rFonts w:ascii="Arial" w:eastAsia="Times New Roman" w:hAnsi="Arial"/>
                <w:sz w:val="20"/>
                <w:szCs w:val="20"/>
                <w:lang w:eastAsia="en-GB"/>
              </w:rPr>
            </w:pPr>
            <w:r w:rsidRPr="00886B3B">
              <w:rPr>
                <w:rFonts w:ascii="Arial" w:eastAsia="Times New Roman" w:hAnsi="Arial"/>
                <w:sz w:val="20"/>
                <w:szCs w:val="20"/>
                <w:lang w:eastAsia="en-GB"/>
              </w:rPr>
              <w:t>100%</w:t>
            </w:r>
          </w:p>
        </w:tc>
        <w:tc>
          <w:tcPr>
            <w:tcW w:w="1276" w:type="dxa"/>
          </w:tcPr>
          <w:p w:rsidR="00886B3B" w:rsidRPr="00A32127" w:rsidRDefault="00886B3B" w:rsidP="00886B3B">
            <w:pPr>
              <w:spacing w:line="240" w:lineRule="auto"/>
              <w:rPr>
                <w:rFonts w:ascii="Arial" w:eastAsia="Times New Roman" w:hAnsi="Arial"/>
                <w:color w:val="FF0000"/>
                <w:sz w:val="20"/>
                <w:szCs w:val="20"/>
                <w:lang w:eastAsia="en-GB"/>
              </w:rPr>
            </w:pPr>
          </w:p>
          <w:p w:rsidR="00886B3B" w:rsidRPr="00A32127" w:rsidRDefault="00886B3B" w:rsidP="00886B3B">
            <w:pPr>
              <w:spacing w:line="240" w:lineRule="auto"/>
              <w:jc w:val="center"/>
              <w:rPr>
                <w:rFonts w:ascii="Arial" w:eastAsia="Times New Roman" w:hAnsi="Arial"/>
                <w:color w:val="FF0000"/>
                <w:sz w:val="20"/>
                <w:szCs w:val="20"/>
                <w:lang w:eastAsia="en-GB"/>
              </w:rPr>
            </w:pPr>
            <w:r w:rsidRPr="00BC49A4">
              <w:rPr>
                <w:rFonts w:ascii="Arial" w:eastAsia="Times New Roman" w:hAnsi="Arial"/>
                <w:sz w:val="20"/>
                <w:szCs w:val="20"/>
                <w:lang w:eastAsia="en-GB"/>
              </w:rPr>
              <w:t>(100%)</w:t>
            </w:r>
          </w:p>
        </w:tc>
        <w:tc>
          <w:tcPr>
            <w:tcW w:w="6491" w:type="dxa"/>
            <w:shd w:val="clear" w:color="auto" w:fill="auto"/>
            <w:vAlign w:val="center"/>
          </w:tcPr>
          <w:p w:rsidR="00886B3B" w:rsidRPr="00886B3B" w:rsidRDefault="00886B3B" w:rsidP="00886B3B">
            <w:pPr>
              <w:spacing w:line="240" w:lineRule="auto"/>
              <w:rPr>
                <w:rFonts w:ascii="Arial" w:eastAsia="Times New Roman" w:hAnsi="Arial"/>
                <w:sz w:val="20"/>
                <w:szCs w:val="20"/>
                <w:lang w:eastAsia="en-GB"/>
              </w:rPr>
            </w:pPr>
            <w:r w:rsidRPr="00886B3B">
              <w:rPr>
                <w:rFonts w:ascii="Arial" w:eastAsia="Times New Roman" w:hAnsi="Arial"/>
                <w:sz w:val="20"/>
                <w:szCs w:val="20"/>
                <w:lang w:eastAsia="en-GB"/>
              </w:rPr>
              <w:t xml:space="preserve">Sustainable duty performance </w:t>
            </w:r>
            <w:r w:rsidR="00BC49A4">
              <w:rPr>
                <w:rFonts w:ascii="Arial" w:eastAsia="Times New Roman" w:hAnsi="Arial"/>
                <w:sz w:val="20"/>
                <w:szCs w:val="20"/>
                <w:lang w:eastAsia="en-GB"/>
              </w:rPr>
              <w:t>2019/20 exercise</w:t>
            </w:r>
          </w:p>
          <w:p w:rsidR="00886B3B" w:rsidRPr="00886B3B" w:rsidRDefault="00886B3B" w:rsidP="00886B3B">
            <w:pPr>
              <w:spacing w:line="240" w:lineRule="auto"/>
              <w:rPr>
                <w:rFonts w:ascii="Arial" w:eastAsia="Times New Roman" w:hAnsi="Arial"/>
                <w:i/>
                <w:sz w:val="20"/>
                <w:szCs w:val="20"/>
                <w:lang w:eastAsia="en-GB"/>
              </w:rPr>
            </w:pPr>
          </w:p>
        </w:tc>
      </w:tr>
    </w:tbl>
    <w:p w:rsidR="00886B3B" w:rsidRPr="00886B3B" w:rsidRDefault="00886B3B" w:rsidP="00886B3B">
      <w:pPr>
        <w:spacing w:after="200"/>
        <w:rPr>
          <w:rFonts w:ascii="Arial" w:hAnsi="Arial"/>
        </w:rPr>
      </w:pPr>
    </w:p>
    <w:p w:rsidR="00886B3B" w:rsidRDefault="00886B3B" w:rsidP="00886B3B">
      <w:pPr>
        <w:spacing w:after="200"/>
        <w:rPr>
          <w:rFonts w:ascii="Arial" w:hAnsi="Arial"/>
        </w:rPr>
      </w:pPr>
    </w:p>
    <w:p w:rsidR="00886B3B" w:rsidRDefault="00886B3B" w:rsidP="00886B3B">
      <w:pPr>
        <w:spacing w:after="200"/>
        <w:rPr>
          <w:rFonts w:ascii="Arial" w:hAnsi="Arial"/>
        </w:rPr>
      </w:pPr>
    </w:p>
    <w:p w:rsidR="00CC65D9" w:rsidRDefault="00CC65D9" w:rsidP="00886B3B">
      <w:pPr>
        <w:spacing w:after="200"/>
        <w:rPr>
          <w:rFonts w:ascii="Arial" w:hAnsi="Arial"/>
        </w:rPr>
      </w:pPr>
    </w:p>
    <w:p w:rsidR="00CC65D9" w:rsidRDefault="00CC65D9" w:rsidP="00886B3B">
      <w:pPr>
        <w:spacing w:after="200"/>
        <w:rPr>
          <w:rFonts w:ascii="Arial" w:hAnsi="Arial"/>
        </w:rPr>
      </w:pPr>
    </w:p>
    <w:p w:rsidR="00CC65D9" w:rsidRDefault="00CC65D9" w:rsidP="00886B3B">
      <w:pPr>
        <w:spacing w:after="200"/>
        <w:rPr>
          <w:rFonts w:ascii="Arial" w:hAnsi="Arial"/>
        </w:rPr>
      </w:pPr>
    </w:p>
    <w:p w:rsidR="00CC65D9" w:rsidRDefault="00CC65D9" w:rsidP="00886B3B">
      <w:pPr>
        <w:spacing w:after="200"/>
        <w:rPr>
          <w:rFonts w:ascii="Arial" w:hAnsi="Arial"/>
        </w:rPr>
      </w:pPr>
    </w:p>
    <w:p w:rsidR="00CC65D9" w:rsidRDefault="00CC65D9" w:rsidP="00886B3B">
      <w:pPr>
        <w:spacing w:after="200"/>
        <w:rPr>
          <w:rFonts w:ascii="Arial" w:hAnsi="Arial"/>
        </w:rPr>
      </w:pPr>
    </w:p>
    <w:p w:rsidR="00162F66" w:rsidRPr="00886B3B" w:rsidRDefault="00162F66" w:rsidP="00886B3B">
      <w:pPr>
        <w:spacing w:after="200"/>
        <w:rPr>
          <w:rFonts w:ascii="Arial" w:hAnsi="Arial"/>
        </w:rPr>
      </w:pPr>
    </w:p>
    <w:p w:rsidR="00886B3B" w:rsidRPr="00886B3B" w:rsidRDefault="00886B3B" w:rsidP="00CC65D9">
      <w:pPr>
        <w:jc w:val="right"/>
        <w:rPr>
          <w:rFonts w:ascii="Arial" w:hAnsi="Arial"/>
          <w:b/>
        </w:rPr>
      </w:pPr>
      <w:r w:rsidRPr="00886B3B">
        <w:rPr>
          <w:rFonts w:ascii="Arial" w:hAnsi="Arial"/>
          <w:b/>
        </w:rPr>
        <w:t>APPENDIX 2</w:t>
      </w:r>
    </w:p>
    <w:p w:rsidR="00886B3B" w:rsidRPr="00886B3B" w:rsidRDefault="00886B3B" w:rsidP="00886B3B">
      <w:pPr>
        <w:rPr>
          <w:rFonts w:ascii="Arial" w:hAnsi="Arial"/>
          <w:b/>
        </w:rPr>
      </w:pPr>
    </w:p>
    <w:p w:rsidR="00886B3B" w:rsidRPr="00886B3B" w:rsidRDefault="00886B3B" w:rsidP="00886B3B">
      <w:pPr>
        <w:rPr>
          <w:rFonts w:ascii="Arial" w:hAnsi="Arial"/>
          <w:b/>
        </w:rPr>
      </w:pPr>
      <w:r w:rsidRPr="00886B3B">
        <w:rPr>
          <w:rFonts w:ascii="Arial" w:hAnsi="Arial"/>
          <w:b/>
        </w:rPr>
        <w:t>Annual Procurement Report – Required Data</w:t>
      </w:r>
    </w:p>
    <w:p w:rsidR="00886B3B" w:rsidRPr="00886B3B" w:rsidRDefault="00886B3B" w:rsidP="00886B3B">
      <w:pPr>
        <w:rPr>
          <w:rFonts w:ascii="Arial" w:hAnsi="Arial"/>
          <w:b/>
          <w:sz w:val="18"/>
          <w:szCs w:val="18"/>
        </w:rPr>
      </w:pPr>
    </w:p>
    <w:p w:rsidR="00886B3B" w:rsidRPr="00886B3B" w:rsidRDefault="00886B3B" w:rsidP="00886B3B">
      <w:pPr>
        <w:rPr>
          <w:rFonts w:ascii="Arial" w:hAnsi="Arial"/>
          <w:sz w:val="18"/>
          <w:szCs w:val="18"/>
        </w:rPr>
      </w:pPr>
    </w:p>
    <w:tbl>
      <w:tblPr>
        <w:tblStyle w:val="TableGrid31"/>
        <w:tblW w:w="0" w:type="auto"/>
        <w:tblBorders>
          <w:insideH w:val="none" w:sz="0" w:space="0" w:color="auto"/>
          <w:insideV w:val="none" w:sz="0" w:space="0" w:color="auto"/>
        </w:tblBorders>
        <w:tblLook w:val="04A0" w:firstRow="1" w:lastRow="0" w:firstColumn="1" w:lastColumn="0" w:noHBand="0" w:noVBand="1"/>
      </w:tblPr>
      <w:tblGrid>
        <w:gridCol w:w="6931"/>
        <w:gridCol w:w="278"/>
        <w:gridCol w:w="940"/>
        <w:gridCol w:w="2191"/>
        <w:gridCol w:w="854"/>
        <w:gridCol w:w="1984"/>
        <w:gridCol w:w="278"/>
      </w:tblGrid>
      <w:tr w:rsidR="00886B3B" w:rsidRPr="00886B3B" w:rsidTr="00B122D6">
        <w:trPr>
          <w:trHeight w:val="405"/>
        </w:trPr>
        <w:tc>
          <w:tcPr>
            <w:tcW w:w="6931" w:type="dxa"/>
            <w:shd w:val="clear" w:color="auto" w:fill="D9D9D9" w:themeFill="background1" w:themeFillShade="D9"/>
            <w:hideMark/>
          </w:tcPr>
          <w:p w:rsidR="00886B3B" w:rsidRPr="00886B3B" w:rsidRDefault="00886B3B" w:rsidP="00886B3B">
            <w:pPr>
              <w:rPr>
                <w:b/>
                <w:bCs/>
                <w:sz w:val="22"/>
                <w:szCs w:val="22"/>
                <w:u w:val="single"/>
              </w:rPr>
            </w:pPr>
            <w:r w:rsidRPr="00886B3B">
              <w:rPr>
                <w:b/>
                <w:bCs/>
                <w:sz w:val="22"/>
                <w:szCs w:val="22"/>
                <w:u w:val="single"/>
              </w:rPr>
              <w:t>1. Organisation and report details</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940"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19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854"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1984" w:type="dxa"/>
            <w:tcBorders>
              <w:bottom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6931" w:type="dxa"/>
            <w:shd w:val="clear" w:color="auto" w:fill="D9D9D9" w:themeFill="background1" w:themeFillShade="D9"/>
            <w:hideMark/>
          </w:tcPr>
          <w:p w:rsidR="00886B3B" w:rsidRPr="00886B3B" w:rsidRDefault="00886B3B" w:rsidP="00886B3B">
            <w:pPr>
              <w:rPr>
                <w:sz w:val="22"/>
                <w:szCs w:val="22"/>
              </w:rPr>
            </w:pPr>
            <w:r w:rsidRPr="00886B3B">
              <w:rPr>
                <w:sz w:val="22"/>
                <w:szCs w:val="22"/>
              </w:rPr>
              <w:t>a) Contracting Authority Name</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940"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19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854" w:type="dxa"/>
            <w:tcBorders>
              <w:righ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187C87" w:rsidRDefault="00886B3B" w:rsidP="00886B3B">
            <w:pPr>
              <w:rPr>
                <w:sz w:val="20"/>
              </w:rPr>
            </w:pPr>
            <w:r w:rsidRPr="00187C87">
              <w:rPr>
                <w:spacing w:val="-4"/>
                <w:sz w:val="20"/>
              </w:rPr>
              <w:t>Moray Council</w:t>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6931" w:type="dxa"/>
            <w:shd w:val="clear" w:color="auto" w:fill="D9D9D9" w:themeFill="background1" w:themeFillShade="D9"/>
            <w:hideMark/>
          </w:tcPr>
          <w:p w:rsidR="00886B3B" w:rsidRPr="00886B3B" w:rsidRDefault="00886B3B" w:rsidP="00886B3B">
            <w:pPr>
              <w:rPr>
                <w:sz w:val="22"/>
                <w:szCs w:val="22"/>
              </w:rPr>
            </w:pPr>
            <w:r w:rsidRPr="00886B3B">
              <w:rPr>
                <w:sz w:val="22"/>
                <w:szCs w:val="22"/>
              </w:rPr>
              <w:t>b) Period of the annual procurement report</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940"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19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854" w:type="dxa"/>
            <w:tcBorders>
              <w:righ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187C87" w:rsidRDefault="00B9020C" w:rsidP="00886B3B">
            <w:pPr>
              <w:rPr>
                <w:sz w:val="20"/>
              </w:rPr>
            </w:pPr>
            <w:r>
              <w:rPr>
                <w:sz w:val="20"/>
              </w:rPr>
              <w:t>April 2020 to March 2021</w:t>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251"/>
        </w:trPr>
        <w:tc>
          <w:tcPr>
            <w:tcW w:w="11194" w:type="dxa"/>
            <w:gridSpan w:val="5"/>
            <w:tcBorders>
              <w:right w:val="single" w:sz="4" w:space="0" w:color="auto"/>
            </w:tcBorders>
            <w:shd w:val="clear" w:color="auto" w:fill="D9D9D9" w:themeFill="background1" w:themeFillShade="D9"/>
            <w:hideMark/>
          </w:tcPr>
          <w:p w:rsidR="00886B3B" w:rsidRPr="00886B3B" w:rsidRDefault="00886B3B" w:rsidP="00886B3B">
            <w:pPr>
              <w:rPr>
                <w:sz w:val="22"/>
                <w:szCs w:val="22"/>
              </w:rPr>
            </w:pPr>
            <w:r w:rsidRPr="00886B3B">
              <w:rPr>
                <w:sz w:val="22"/>
                <w:szCs w:val="22"/>
              </w:rPr>
              <w:t>c) Required by s18 Procurement Reform (Scotland) Act 2014 to prepare an annual procurement report?</w:t>
            </w:r>
            <w:r w:rsidRPr="00886B3B">
              <w:rPr>
                <w:i/>
                <w:iCs/>
                <w:sz w:val="22"/>
                <w:szCs w:val="22"/>
              </w:rPr>
              <w:t xml:space="preserve"> </w:t>
            </w:r>
            <w:r w:rsidRPr="00886B3B">
              <w:rPr>
                <w:i/>
                <w:iCs/>
                <w:sz w:val="20"/>
              </w:rPr>
              <w:t>(Yes / No)</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187C87" w:rsidRDefault="00886B3B" w:rsidP="00886B3B">
            <w:pPr>
              <w:rPr>
                <w:sz w:val="20"/>
              </w:rPr>
            </w:pPr>
            <w:r w:rsidRPr="00187C87">
              <w:rPr>
                <w:sz w:val="20"/>
              </w:rPr>
              <w:t>Yes</w:t>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6931" w:type="dxa"/>
            <w:shd w:val="clear" w:color="auto" w:fill="D9D9D9" w:themeFill="background1" w:themeFillShade="D9"/>
            <w:hideMark/>
          </w:tcPr>
          <w:p w:rsidR="00886B3B" w:rsidRPr="00886B3B" w:rsidRDefault="00886B3B" w:rsidP="00886B3B">
            <w:pPr>
              <w:rPr>
                <w:sz w:val="22"/>
                <w:szCs w:val="22"/>
              </w:rPr>
            </w:pPr>
            <w:r w:rsidRPr="00886B3B">
              <w:rPr>
                <w:sz w:val="22"/>
                <w:szCs w:val="22"/>
              </w:rPr>
              <w:t> </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940"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19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854"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1984" w:type="dxa"/>
            <w:tcBorders>
              <w:top w:val="single" w:sz="4" w:space="0" w:color="auto"/>
            </w:tcBorders>
            <w:shd w:val="clear" w:color="auto" w:fill="D9D9D9" w:themeFill="background1" w:themeFillShade="D9"/>
            <w:noWrap/>
            <w:hideMark/>
          </w:tcPr>
          <w:p w:rsidR="00886B3B" w:rsidRPr="00A32127" w:rsidRDefault="00886B3B" w:rsidP="00886B3B">
            <w:pPr>
              <w:rPr>
                <w:color w:val="FF0000"/>
                <w:sz w:val="22"/>
                <w:szCs w:val="22"/>
              </w:rPr>
            </w:pPr>
            <w:r w:rsidRPr="00A32127">
              <w:rPr>
                <w:color w:val="FF0000"/>
                <w:sz w:val="22"/>
                <w:szCs w:val="22"/>
              </w:rPr>
              <w:t> </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60"/>
        </w:trPr>
        <w:tc>
          <w:tcPr>
            <w:tcW w:w="6931" w:type="dxa"/>
            <w:shd w:val="clear" w:color="auto" w:fill="D9D9D9" w:themeFill="background1" w:themeFillShade="D9"/>
            <w:hideMark/>
          </w:tcPr>
          <w:p w:rsidR="00886B3B" w:rsidRPr="00886B3B" w:rsidRDefault="00886B3B" w:rsidP="00886B3B">
            <w:pPr>
              <w:rPr>
                <w:b/>
                <w:bCs/>
                <w:sz w:val="22"/>
                <w:szCs w:val="22"/>
                <w:u w:val="single"/>
              </w:rPr>
            </w:pPr>
            <w:r w:rsidRPr="00886B3B">
              <w:rPr>
                <w:b/>
                <w:bCs/>
                <w:sz w:val="22"/>
                <w:szCs w:val="22"/>
                <w:u w:val="single"/>
              </w:rPr>
              <w:t>2. Summary of Regulated Procurements Completed</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940"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19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854"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1984" w:type="dxa"/>
            <w:tcBorders>
              <w:bottom w:val="single" w:sz="4" w:space="0" w:color="auto"/>
            </w:tcBorders>
            <w:shd w:val="clear" w:color="auto" w:fill="D9D9D9" w:themeFill="background1" w:themeFillShade="D9"/>
            <w:noWrap/>
            <w:hideMark/>
          </w:tcPr>
          <w:p w:rsidR="00886B3B" w:rsidRPr="00A32127" w:rsidRDefault="00886B3B" w:rsidP="00886B3B">
            <w:pPr>
              <w:rPr>
                <w:color w:val="FF0000"/>
                <w:sz w:val="22"/>
                <w:szCs w:val="22"/>
              </w:rPr>
            </w:pPr>
            <w:r w:rsidRPr="00A32127">
              <w:rPr>
                <w:color w:val="FF0000"/>
                <w:sz w:val="22"/>
                <w:szCs w:val="22"/>
              </w:rPr>
              <w:t> </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10340" w:type="dxa"/>
            <w:gridSpan w:val="4"/>
            <w:shd w:val="clear" w:color="auto" w:fill="D9D9D9" w:themeFill="background1" w:themeFillShade="D9"/>
            <w:hideMark/>
          </w:tcPr>
          <w:p w:rsidR="00886B3B" w:rsidRPr="00886B3B" w:rsidRDefault="00886B3B" w:rsidP="00886B3B">
            <w:pPr>
              <w:rPr>
                <w:sz w:val="22"/>
                <w:szCs w:val="22"/>
              </w:rPr>
            </w:pPr>
            <w:r w:rsidRPr="00886B3B">
              <w:rPr>
                <w:sz w:val="22"/>
                <w:szCs w:val="22"/>
              </w:rPr>
              <w:t>a) Total number of regulated contracts awarded within the report period</w:t>
            </w:r>
          </w:p>
        </w:tc>
        <w:tc>
          <w:tcPr>
            <w:tcW w:w="854" w:type="dxa"/>
            <w:tcBorders>
              <w:right w:val="single" w:sz="4" w:space="0" w:color="auto"/>
            </w:tcBorders>
            <w:shd w:val="clear" w:color="auto" w:fill="D9D9D9" w:themeFill="background1" w:themeFillShade="D9"/>
            <w:hideMark/>
          </w:tcPr>
          <w:p w:rsidR="00886B3B" w:rsidRPr="00B9020C" w:rsidRDefault="00886B3B" w:rsidP="00886B3B">
            <w:pPr>
              <w:rPr>
                <w:sz w:val="22"/>
                <w:szCs w:val="22"/>
              </w:rPr>
            </w:pPr>
            <w:r w:rsidRPr="00B9020C">
              <w:rPr>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B9020C" w:rsidRDefault="00B9020C" w:rsidP="00886B3B">
            <w:pPr>
              <w:rPr>
                <w:sz w:val="20"/>
              </w:rPr>
            </w:pPr>
            <w:r w:rsidRPr="00B9020C">
              <w:rPr>
                <w:sz w:val="20"/>
              </w:rPr>
              <w:t>177</w:t>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10340" w:type="dxa"/>
            <w:gridSpan w:val="4"/>
            <w:shd w:val="clear" w:color="auto" w:fill="D9D9D9" w:themeFill="background1" w:themeFillShade="D9"/>
            <w:hideMark/>
          </w:tcPr>
          <w:p w:rsidR="00886B3B" w:rsidRPr="00886B3B" w:rsidRDefault="00886B3B" w:rsidP="00886B3B">
            <w:pPr>
              <w:rPr>
                <w:sz w:val="22"/>
                <w:szCs w:val="22"/>
              </w:rPr>
            </w:pPr>
            <w:r w:rsidRPr="00886B3B">
              <w:rPr>
                <w:sz w:val="22"/>
                <w:szCs w:val="22"/>
              </w:rPr>
              <w:t>b) Total value of regulated contracts awarded within the report period</w:t>
            </w:r>
          </w:p>
        </w:tc>
        <w:tc>
          <w:tcPr>
            <w:tcW w:w="854" w:type="dxa"/>
            <w:tcBorders>
              <w:right w:val="single" w:sz="4" w:space="0" w:color="auto"/>
            </w:tcBorders>
            <w:shd w:val="clear" w:color="auto" w:fill="D9D9D9" w:themeFill="background1" w:themeFillShade="D9"/>
            <w:hideMark/>
          </w:tcPr>
          <w:p w:rsidR="00886B3B" w:rsidRPr="00B9020C" w:rsidRDefault="00886B3B" w:rsidP="00886B3B">
            <w:pPr>
              <w:rPr>
                <w:sz w:val="22"/>
                <w:szCs w:val="22"/>
              </w:rPr>
            </w:pPr>
            <w:r w:rsidRPr="00B9020C">
              <w:rPr>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B9020C" w:rsidRDefault="00B9020C" w:rsidP="00B9020C">
            <w:pPr>
              <w:rPr>
                <w:sz w:val="20"/>
              </w:rPr>
            </w:pPr>
            <w:r w:rsidRPr="00B9020C">
              <w:rPr>
                <w:sz w:val="20"/>
              </w:rPr>
              <w:t>£59,316,433</w:t>
            </w:r>
            <w:r w:rsidR="00886B3B" w:rsidRPr="00B9020C">
              <w:rPr>
                <w:sz w:val="20"/>
              </w:rPr>
              <w:fldChar w:fldCharType="begin"/>
            </w:r>
            <w:r w:rsidR="00886B3B" w:rsidRPr="00B9020C">
              <w:rPr>
                <w:sz w:val="20"/>
              </w:rPr>
              <w:instrText>MERGEFIELD Name</w:instrText>
            </w:r>
            <w:r w:rsidR="00886B3B" w:rsidRPr="00B9020C">
              <w:rPr>
                <w:sz w:val="20"/>
              </w:rPr>
              <w:fldChar w:fldCharType="end"/>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11194" w:type="dxa"/>
            <w:gridSpan w:val="5"/>
            <w:tcBorders>
              <w:right w:val="single" w:sz="4" w:space="0" w:color="auto"/>
            </w:tcBorders>
            <w:shd w:val="clear" w:color="auto" w:fill="D9D9D9" w:themeFill="background1" w:themeFillShade="D9"/>
            <w:hideMark/>
          </w:tcPr>
          <w:p w:rsidR="00886B3B" w:rsidRPr="00886B3B" w:rsidRDefault="00886B3B" w:rsidP="00886B3B">
            <w:pPr>
              <w:rPr>
                <w:sz w:val="22"/>
                <w:szCs w:val="22"/>
              </w:rPr>
            </w:pPr>
            <w:r w:rsidRPr="00886B3B">
              <w:rPr>
                <w:sz w:val="22"/>
                <w:szCs w:val="22"/>
              </w:rPr>
              <w:t>c) Total number of unique suppliers awarded a place on a regulated contract awarded during the period</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A32127" w:rsidRDefault="00B122D6" w:rsidP="00886B3B">
            <w:pPr>
              <w:rPr>
                <w:color w:val="FF0000"/>
                <w:sz w:val="20"/>
              </w:rPr>
            </w:pPr>
            <w:r w:rsidRPr="00B122D6">
              <w:rPr>
                <w:sz w:val="20"/>
              </w:rPr>
              <w:t>144</w:t>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6931" w:type="dxa"/>
            <w:shd w:val="clear" w:color="auto" w:fill="D9D9D9" w:themeFill="background1" w:themeFillShade="D9"/>
            <w:hideMark/>
          </w:tcPr>
          <w:p w:rsidR="00886B3B" w:rsidRPr="00886B3B" w:rsidRDefault="00886B3B" w:rsidP="00886B3B">
            <w:pPr>
              <w:rPr>
                <w:sz w:val="22"/>
                <w:szCs w:val="22"/>
              </w:rPr>
            </w:pPr>
            <w:r w:rsidRPr="00886B3B">
              <w:rPr>
                <w:sz w:val="22"/>
                <w:szCs w:val="22"/>
              </w:rPr>
              <w:t xml:space="preserve">    i)  how many of these unique suppliers are SMEs</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940" w:type="dxa"/>
            <w:shd w:val="clear" w:color="auto" w:fill="D9D9D9" w:themeFill="background1" w:themeFillShade="D9"/>
            <w:hideMark/>
          </w:tcPr>
          <w:p w:rsidR="00886B3B" w:rsidRPr="00886B3B" w:rsidRDefault="00886B3B" w:rsidP="00886B3B">
            <w:pPr>
              <w:rPr>
                <w:sz w:val="22"/>
                <w:szCs w:val="22"/>
              </w:rPr>
            </w:pPr>
            <w:r w:rsidRPr="00886B3B">
              <w:rPr>
                <w:sz w:val="22"/>
                <w:szCs w:val="22"/>
              </w:rPr>
              <w:t> </w:t>
            </w:r>
          </w:p>
        </w:tc>
        <w:tc>
          <w:tcPr>
            <w:tcW w:w="2191" w:type="dxa"/>
            <w:shd w:val="clear" w:color="auto" w:fill="D9D9D9" w:themeFill="background1" w:themeFillShade="D9"/>
            <w:hideMark/>
          </w:tcPr>
          <w:p w:rsidR="00886B3B" w:rsidRPr="00886B3B" w:rsidRDefault="00886B3B" w:rsidP="00886B3B">
            <w:pPr>
              <w:rPr>
                <w:sz w:val="22"/>
                <w:szCs w:val="22"/>
              </w:rPr>
            </w:pPr>
            <w:r w:rsidRPr="00886B3B">
              <w:rPr>
                <w:sz w:val="22"/>
                <w:szCs w:val="22"/>
              </w:rPr>
              <w:t> </w:t>
            </w:r>
          </w:p>
        </w:tc>
        <w:tc>
          <w:tcPr>
            <w:tcW w:w="854" w:type="dxa"/>
            <w:tcBorders>
              <w:right w:val="single" w:sz="4" w:space="0" w:color="auto"/>
            </w:tcBorders>
            <w:shd w:val="clear" w:color="auto" w:fill="D9D9D9" w:themeFill="background1" w:themeFillShade="D9"/>
            <w:hideMark/>
          </w:tcPr>
          <w:p w:rsidR="00886B3B" w:rsidRPr="00B122D6" w:rsidRDefault="00886B3B" w:rsidP="00886B3B">
            <w:pPr>
              <w:rPr>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B122D6" w:rsidRDefault="00B122D6" w:rsidP="00886B3B">
            <w:pPr>
              <w:rPr>
                <w:sz w:val="20"/>
              </w:rPr>
            </w:pPr>
            <w:r w:rsidRPr="00B122D6">
              <w:rPr>
                <w:sz w:val="20"/>
              </w:rPr>
              <w:t>98</w:t>
            </w:r>
            <w:r w:rsidR="00886B3B" w:rsidRPr="00B122D6">
              <w:rPr>
                <w:sz w:val="20"/>
              </w:rPr>
              <w:fldChar w:fldCharType="begin"/>
            </w:r>
            <w:r w:rsidR="00886B3B" w:rsidRPr="00B122D6">
              <w:rPr>
                <w:sz w:val="20"/>
              </w:rPr>
              <w:instrText>MERGEFIELD Name</w:instrText>
            </w:r>
            <w:r w:rsidR="00886B3B" w:rsidRPr="00B122D6">
              <w:rPr>
                <w:sz w:val="20"/>
              </w:rPr>
              <w:fldChar w:fldCharType="end"/>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10340" w:type="dxa"/>
            <w:gridSpan w:val="4"/>
            <w:shd w:val="clear" w:color="auto" w:fill="D9D9D9" w:themeFill="background1" w:themeFillShade="D9"/>
            <w:hideMark/>
          </w:tcPr>
          <w:p w:rsidR="00886B3B" w:rsidRPr="00886B3B" w:rsidRDefault="00886B3B" w:rsidP="00886B3B">
            <w:pPr>
              <w:rPr>
                <w:sz w:val="22"/>
                <w:szCs w:val="22"/>
              </w:rPr>
            </w:pPr>
            <w:r w:rsidRPr="00886B3B">
              <w:rPr>
                <w:sz w:val="22"/>
                <w:szCs w:val="22"/>
              </w:rPr>
              <w:t xml:space="preserve">    ii) how many of these unique suppliers how many are Third sector bodies</w:t>
            </w:r>
          </w:p>
        </w:tc>
        <w:tc>
          <w:tcPr>
            <w:tcW w:w="854" w:type="dxa"/>
            <w:tcBorders>
              <w:right w:val="single" w:sz="4" w:space="0" w:color="auto"/>
            </w:tcBorders>
            <w:shd w:val="clear" w:color="auto" w:fill="D9D9D9" w:themeFill="background1" w:themeFillShade="D9"/>
            <w:hideMark/>
          </w:tcPr>
          <w:p w:rsidR="00886B3B" w:rsidRPr="00886B3B" w:rsidRDefault="00886B3B" w:rsidP="00886B3B">
            <w:pPr>
              <w:rPr>
                <w:sz w:val="22"/>
                <w:szCs w:val="22"/>
              </w:rPr>
            </w:pPr>
            <w:r w:rsidRPr="00886B3B">
              <w:rPr>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B9020C" w:rsidRDefault="00886B3B" w:rsidP="00886B3B">
            <w:pPr>
              <w:rPr>
                <w:sz w:val="20"/>
              </w:rPr>
            </w:pPr>
            <w:r w:rsidRPr="00B9020C">
              <w:rPr>
                <w:sz w:val="20"/>
              </w:rPr>
              <w:fldChar w:fldCharType="begin"/>
            </w:r>
            <w:r w:rsidRPr="00B9020C">
              <w:rPr>
                <w:sz w:val="20"/>
              </w:rPr>
              <w:instrText>MERGEFIELD Name</w:instrText>
            </w:r>
            <w:r w:rsidRPr="00B9020C">
              <w:rPr>
                <w:sz w:val="20"/>
              </w:rPr>
              <w:fldChar w:fldCharType="separate"/>
            </w:r>
            <w:r w:rsidRPr="00B9020C">
              <w:rPr>
                <w:noProof/>
                <w:sz w:val="20"/>
              </w:rPr>
              <w:t>Not recorded</w:t>
            </w:r>
            <w:r w:rsidRPr="00B9020C">
              <w:rPr>
                <w:sz w:val="20"/>
              </w:rPr>
              <w:fldChar w:fldCharType="end"/>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6931" w:type="dxa"/>
            <w:shd w:val="clear" w:color="auto" w:fill="D9D9D9" w:themeFill="background1" w:themeFillShade="D9"/>
            <w:hideMark/>
          </w:tcPr>
          <w:p w:rsidR="00886B3B" w:rsidRPr="00886B3B" w:rsidRDefault="00886B3B" w:rsidP="00886B3B">
            <w:pPr>
              <w:rPr>
                <w:sz w:val="22"/>
                <w:szCs w:val="22"/>
              </w:rPr>
            </w:pPr>
            <w:r w:rsidRPr="00886B3B">
              <w:rPr>
                <w:sz w:val="22"/>
                <w:szCs w:val="22"/>
              </w:rPr>
              <w:t> </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940"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19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854"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1984" w:type="dxa"/>
            <w:tcBorders>
              <w:top w:val="single" w:sz="4" w:space="0" w:color="auto"/>
            </w:tcBorders>
            <w:shd w:val="clear" w:color="auto" w:fill="D9D9D9" w:themeFill="background1" w:themeFillShade="D9"/>
            <w:noWrap/>
            <w:hideMark/>
          </w:tcPr>
          <w:p w:rsidR="00886B3B" w:rsidRPr="00B9020C" w:rsidRDefault="00886B3B" w:rsidP="00886B3B">
            <w:pPr>
              <w:rPr>
                <w:sz w:val="22"/>
                <w:szCs w:val="22"/>
              </w:rPr>
            </w:pPr>
            <w:r w:rsidRPr="00B9020C">
              <w:rPr>
                <w:sz w:val="22"/>
                <w:szCs w:val="22"/>
              </w:rPr>
              <w:t> </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60"/>
        </w:trPr>
        <w:tc>
          <w:tcPr>
            <w:tcW w:w="6931" w:type="dxa"/>
            <w:shd w:val="clear" w:color="auto" w:fill="D9D9D9" w:themeFill="background1" w:themeFillShade="D9"/>
            <w:hideMark/>
          </w:tcPr>
          <w:p w:rsidR="00886B3B" w:rsidRPr="00886B3B" w:rsidRDefault="00886B3B" w:rsidP="00886B3B">
            <w:pPr>
              <w:rPr>
                <w:b/>
                <w:bCs/>
                <w:sz w:val="22"/>
                <w:szCs w:val="22"/>
                <w:u w:val="single"/>
              </w:rPr>
            </w:pPr>
            <w:r w:rsidRPr="00886B3B">
              <w:rPr>
                <w:b/>
                <w:bCs/>
                <w:sz w:val="22"/>
                <w:szCs w:val="22"/>
                <w:u w:val="single"/>
              </w:rPr>
              <w:t>3. Review of Regulated Procurements Compliance</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940"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19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854"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1984" w:type="dxa"/>
            <w:tcBorders>
              <w:bottom w:val="single" w:sz="4" w:space="0" w:color="auto"/>
            </w:tcBorders>
            <w:shd w:val="clear" w:color="auto" w:fill="D9D9D9" w:themeFill="background1" w:themeFillShade="D9"/>
            <w:noWrap/>
            <w:hideMark/>
          </w:tcPr>
          <w:p w:rsidR="00886B3B" w:rsidRPr="00B9020C" w:rsidRDefault="00886B3B" w:rsidP="00886B3B">
            <w:pPr>
              <w:rPr>
                <w:sz w:val="22"/>
                <w:szCs w:val="22"/>
              </w:rPr>
            </w:pPr>
            <w:r w:rsidRPr="00B9020C">
              <w:rPr>
                <w:sz w:val="22"/>
                <w:szCs w:val="22"/>
              </w:rPr>
              <w:t> </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11194" w:type="dxa"/>
            <w:gridSpan w:val="5"/>
            <w:tcBorders>
              <w:right w:val="single" w:sz="4" w:space="0" w:color="auto"/>
            </w:tcBorders>
            <w:shd w:val="clear" w:color="auto" w:fill="D9D9D9" w:themeFill="background1" w:themeFillShade="D9"/>
            <w:hideMark/>
          </w:tcPr>
          <w:p w:rsidR="00886B3B" w:rsidRPr="00886B3B" w:rsidRDefault="00886B3B" w:rsidP="00886B3B">
            <w:pPr>
              <w:rPr>
                <w:sz w:val="22"/>
                <w:szCs w:val="22"/>
              </w:rPr>
            </w:pPr>
            <w:r w:rsidRPr="00886B3B">
              <w:rPr>
                <w:sz w:val="22"/>
                <w:szCs w:val="22"/>
              </w:rPr>
              <w:lastRenderedPageBreak/>
              <w:t>a) Number of regulated contracts awarded within the period that complied with your Procurement Strategy</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B9020C" w:rsidRDefault="00886B3B" w:rsidP="00886B3B">
            <w:pPr>
              <w:rPr>
                <w:sz w:val="20"/>
              </w:rPr>
            </w:pPr>
            <w:r w:rsidRPr="00B9020C">
              <w:rPr>
                <w:sz w:val="20"/>
              </w:rPr>
              <w:t>Not recorded</w:t>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11194" w:type="dxa"/>
            <w:gridSpan w:val="5"/>
            <w:tcBorders>
              <w:right w:val="single" w:sz="4" w:space="0" w:color="auto"/>
            </w:tcBorders>
            <w:shd w:val="clear" w:color="auto" w:fill="D9D9D9" w:themeFill="background1" w:themeFillShade="D9"/>
            <w:hideMark/>
          </w:tcPr>
          <w:p w:rsidR="00886B3B" w:rsidRPr="00886B3B" w:rsidRDefault="00886B3B" w:rsidP="00886B3B">
            <w:pPr>
              <w:rPr>
                <w:sz w:val="22"/>
                <w:szCs w:val="22"/>
              </w:rPr>
            </w:pPr>
            <w:r w:rsidRPr="00886B3B">
              <w:rPr>
                <w:sz w:val="22"/>
                <w:szCs w:val="22"/>
              </w:rPr>
              <w:t>b) Number of regulated contracts awarded within the period that did not comply with your Procurement Strategy</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B9020C" w:rsidRDefault="00886B3B" w:rsidP="00886B3B">
            <w:pPr>
              <w:rPr>
                <w:sz w:val="20"/>
              </w:rPr>
            </w:pPr>
            <w:r w:rsidRPr="00B9020C">
              <w:rPr>
                <w:sz w:val="20"/>
              </w:rPr>
              <w:t>Not recorded</w:t>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6931" w:type="dxa"/>
            <w:shd w:val="clear" w:color="auto" w:fill="D9D9D9" w:themeFill="background1" w:themeFillShade="D9"/>
            <w:hideMark/>
          </w:tcPr>
          <w:p w:rsidR="00886B3B" w:rsidRPr="00886B3B" w:rsidRDefault="00886B3B" w:rsidP="00886B3B">
            <w:pPr>
              <w:rPr>
                <w:sz w:val="22"/>
                <w:szCs w:val="22"/>
              </w:rPr>
            </w:pP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940"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19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854"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1984" w:type="dxa"/>
            <w:tcBorders>
              <w:top w:val="single" w:sz="4" w:space="0" w:color="auto"/>
            </w:tcBorders>
            <w:shd w:val="clear" w:color="auto" w:fill="D9D9D9" w:themeFill="background1" w:themeFillShade="D9"/>
            <w:noWrap/>
            <w:hideMark/>
          </w:tcPr>
          <w:p w:rsidR="00886B3B" w:rsidRPr="00A32127" w:rsidRDefault="00886B3B" w:rsidP="00886B3B">
            <w:pPr>
              <w:rPr>
                <w:color w:val="FF0000"/>
                <w:sz w:val="22"/>
                <w:szCs w:val="22"/>
              </w:rPr>
            </w:pPr>
            <w:r w:rsidRPr="00A32127">
              <w:rPr>
                <w:color w:val="FF0000"/>
                <w:sz w:val="22"/>
                <w:szCs w:val="22"/>
              </w:rPr>
              <w:t> </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60"/>
        </w:trPr>
        <w:tc>
          <w:tcPr>
            <w:tcW w:w="6931" w:type="dxa"/>
            <w:shd w:val="clear" w:color="auto" w:fill="D9D9D9" w:themeFill="background1" w:themeFillShade="D9"/>
            <w:hideMark/>
          </w:tcPr>
          <w:p w:rsidR="00886B3B" w:rsidRPr="00886B3B" w:rsidRDefault="00886B3B" w:rsidP="00886B3B">
            <w:pPr>
              <w:rPr>
                <w:b/>
                <w:bCs/>
                <w:sz w:val="22"/>
                <w:szCs w:val="22"/>
                <w:u w:val="single"/>
              </w:rPr>
            </w:pPr>
            <w:r w:rsidRPr="00886B3B">
              <w:rPr>
                <w:b/>
                <w:bCs/>
                <w:sz w:val="22"/>
                <w:szCs w:val="22"/>
                <w:u w:val="single"/>
              </w:rPr>
              <w:t>4. Community Benefit Requirements Summary</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940"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19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854"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1984"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469"/>
        </w:trPr>
        <w:tc>
          <w:tcPr>
            <w:tcW w:w="6931" w:type="dxa"/>
            <w:shd w:val="clear" w:color="auto" w:fill="D9D9D9" w:themeFill="background1" w:themeFillShade="D9"/>
            <w:hideMark/>
          </w:tcPr>
          <w:p w:rsidR="00886B3B" w:rsidRPr="00886B3B" w:rsidRDefault="00886B3B" w:rsidP="00886B3B">
            <w:pPr>
              <w:rPr>
                <w:b/>
                <w:bCs/>
                <w:sz w:val="22"/>
                <w:szCs w:val="22"/>
              </w:rPr>
            </w:pPr>
            <w:r w:rsidRPr="00886B3B">
              <w:rPr>
                <w:b/>
                <w:bCs/>
                <w:sz w:val="22"/>
                <w:szCs w:val="22"/>
              </w:rPr>
              <w:t>Use of Community Benefit Requirements in Procurement:</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940"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19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854"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1984" w:type="dxa"/>
            <w:tcBorders>
              <w:bottom w:val="single" w:sz="4" w:space="0" w:color="auto"/>
            </w:tcBorders>
            <w:shd w:val="clear" w:color="auto" w:fill="D9D9D9" w:themeFill="background1" w:themeFillShade="D9"/>
            <w:noWrap/>
            <w:hideMark/>
          </w:tcPr>
          <w:p w:rsidR="00886B3B" w:rsidRPr="00A32127" w:rsidRDefault="00886B3B" w:rsidP="00886B3B">
            <w:pPr>
              <w:rPr>
                <w:color w:val="FF0000"/>
                <w:sz w:val="22"/>
                <w:szCs w:val="22"/>
              </w:rPr>
            </w:pPr>
            <w:r w:rsidRPr="00A32127">
              <w:rPr>
                <w:color w:val="FF0000"/>
                <w:sz w:val="22"/>
                <w:szCs w:val="22"/>
              </w:rPr>
              <w:t> </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11194" w:type="dxa"/>
            <w:gridSpan w:val="5"/>
            <w:tcBorders>
              <w:right w:val="single" w:sz="4" w:space="0" w:color="auto"/>
            </w:tcBorders>
            <w:shd w:val="clear" w:color="auto" w:fill="D9D9D9" w:themeFill="background1" w:themeFillShade="D9"/>
            <w:hideMark/>
          </w:tcPr>
          <w:p w:rsidR="00886B3B" w:rsidRPr="00886B3B" w:rsidRDefault="00886B3B" w:rsidP="00886B3B">
            <w:pPr>
              <w:rPr>
                <w:sz w:val="22"/>
                <w:szCs w:val="22"/>
              </w:rPr>
            </w:pPr>
            <w:r w:rsidRPr="00886B3B">
              <w:rPr>
                <w:sz w:val="22"/>
                <w:szCs w:val="22"/>
              </w:rPr>
              <w:t>a) Total number of regulated contracts awarded with a value of £4 million or greater.</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B122D6" w:rsidRDefault="00B122D6" w:rsidP="00886B3B">
            <w:pPr>
              <w:rPr>
                <w:sz w:val="20"/>
              </w:rPr>
            </w:pPr>
            <w:r w:rsidRPr="00B122D6">
              <w:rPr>
                <w:sz w:val="20"/>
              </w:rPr>
              <w:t>0</w:t>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11194" w:type="dxa"/>
            <w:gridSpan w:val="5"/>
            <w:tcBorders>
              <w:right w:val="single" w:sz="4" w:space="0" w:color="auto"/>
            </w:tcBorders>
            <w:shd w:val="clear" w:color="auto" w:fill="D9D9D9" w:themeFill="background1" w:themeFillShade="D9"/>
            <w:hideMark/>
          </w:tcPr>
          <w:p w:rsidR="00886B3B" w:rsidRPr="00886B3B" w:rsidRDefault="00886B3B" w:rsidP="00886B3B">
            <w:pPr>
              <w:rPr>
                <w:sz w:val="22"/>
                <w:szCs w:val="22"/>
              </w:rPr>
            </w:pPr>
            <w:r w:rsidRPr="00886B3B">
              <w:rPr>
                <w:sz w:val="22"/>
                <w:szCs w:val="22"/>
              </w:rPr>
              <w:t xml:space="preserve">b) Total number of regulated contracts awarded with a value of £4 million or greater that contain Community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B122D6" w:rsidRDefault="000D4484" w:rsidP="00886B3B">
            <w:pPr>
              <w:rPr>
                <w:sz w:val="20"/>
              </w:rPr>
            </w:pPr>
            <w:r>
              <w:rPr>
                <w:sz w:val="20"/>
              </w:rPr>
              <w:t>N/A</w:t>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11194" w:type="dxa"/>
            <w:gridSpan w:val="5"/>
            <w:tcBorders>
              <w:right w:val="nil"/>
            </w:tcBorders>
            <w:shd w:val="clear" w:color="auto" w:fill="D9D9D9" w:themeFill="background1" w:themeFillShade="D9"/>
          </w:tcPr>
          <w:p w:rsidR="00886B3B" w:rsidRPr="00886B3B" w:rsidRDefault="00886B3B" w:rsidP="00886B3B">
            <w:pPr>
              <w:tabs>
                <w:tab w:val="left" w:pos="306"/>
              </w:tabs>
              <w:rPr>
                <w:sz w:val="22"/>
                <w:szCs w:val="22"/>
              </w:rPr>
            </w:pPr>
            <w:r w:rsidRPr="00886B3B">
              <w:rPr>
                <w:sz w:val="22"/>
                <w:szCs w:val="22"/>
              </w:rPr>
              <w:t xml:space="preserve">    Benefit Requirements.</w:t>
            </w:r>
          </w:p>
        </w:tc>
        <w:tc>
          <w:tcPr>
            <w:tcW w:w="1984" w:type="dxa"/>
            <w:tcBorders>
              <w:top w:val="single" w:sz="4" w:space="0" w:color="auto"/>
              <w:left w:val="nil"/>
              <w:bottom w:val="single" w:sz="4" w:space="0" w:color="auto"/>
              <w:right w:val="nil"/>
            </w:tcBorders>
            <w:shd w:val="clear" w:color="auto" w:fill="D9D9D9" w:themeFill="background1" w:themeFillShade="D9"/>
            <w:noWrap/>
          </w:tcPr>
          <w:p w:rsidR="00886B3B" w:rsidRPr="00A32127" w:rsidRDefault="00886B3B" w:rsidP="00886B3B">
            <w:pPr>
              <w:rPr>
                <w:color w:val="FF0000"/>
                <w:sz w:val="20"/>
              </w:rPr>
            </w:pPr>
          </w:p>
        </w:tc>
        <w:tc>
          <w:tcPr>
            <w:tcW w:w="278" w:type="dxa"/>
            <w:tcBorders>
              <w:left w:val="nil"/>
            </w:tcBorders>
            <w:shd w:val="clear" w:color="auto" w:fill="D9D9D9" w:themeFill="background1" w:themeFillShade="D9"/>
            <w:noWrap/>
          </w:tcPr>
          <w:p w:rsidR="00886B3B" w:rsidRPr="00886B3B" w:rsidRDefault="00886B3B" w:rsidP="00886B3B">
            <w:pPr>
              <w:rPr>
                <w:sz w:val="22"/>
                <w:szCs w:val="22"/>
              </w:rPr>
            </w:pPr>
          </w:p>
        </w:tc>
      </w:tr>
      <w:tr w:rsidR="00886B3B" w:rsidRPr="00886B3B" w:rsidTr="00B122D6">
        <w:trPr>
          <w:trHeight w:val="300"/>
        </w:trPr>
        <w:tc>
          <w:tcPr>
            <w:tcW w:w="11194" w:type="dxa"/>
            <w:gridSpan w:val="5"/>
            <w:tcBorders>
              <w:right w:val="single" w:sz="4" w:space="0" w:color="auto"/>
            </w:tcBorders>
            <w:shd w:val="clear" w:color="auto" w:fill="D9D9D9" w:themeFill="background1" w:themeFillShade="D9"/>
            <w:hideMark/>
          </w:tcPr>
          <w:p w:rsidR="00886B3B" w:rsidRPr="00886B3B" w:rsidRDefault="00886B3B" w:rsidP="00886B3B">
            <w:pPr>
              <w:tabs>
                <w:tab w:val="left" w:pos="306"/>
              </w:tabs>
              <w:rPr>
                <w:b/>
                <w:bCs/>
                <w:sz w:val="22"/>
                <w:szCs w:val="22"/>
              </w:rPr>
            </w:pPr>
            <w:r w:rsidRPr="00886B3B">
              <w:rPr>
                <w:sz w:val="22"/>
                <w:szCs w:val="22"/>
              </w:rPr>
              <w:t xml:space="preserve">c) Total number of regulated contracts awarded with a value of less than £4 million that contain a Community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A32127" w:rsidRDefault="00B122D6" w:rsidP="00886B3B">
            <w:pPr>
              <w:rPr>
                <w:color w:val="FF0000"/>
                <w:sz w:val="20"/>
              </w:rPr>
            </w:pPr>
            <w:r w:rsidRPr="00B122D6">
              <w:rPr>
                <w:sz w:val="20"/>
              </w:rPr>
              <w:t>29</w:t>
            </w:r>
            <w:r w:rsidR="00886B3B" w:rsidRPr="00A32127">
              <w:rPr>
                <w:color w:val="FF0000"/>
                <w:sz w:val="20"/>
              </w:rPr>
              <w:fldChar w:fldCharType="begin"/>
            </w:r>
            <w:r w:rsidR="00886B3B" w:rsidRPr="00A32127">
              <w:rPr>
                <w:color w:val="FF0000"/>
                <w:sz w:val="20"/>
              </w:rPr>
              <w:instrText>MERGEFIELD Name</w:instrText>
            </w:r>
            <w:r w:rsidR="00886B3B" w:rsidRPr="00A32127">
              <w:rPr>
                <w:color w:val="FF0000"/>
                <w:sz w:val="20"/>
              </w:rPr>
              <w:fldChar w:fldCharType="end"/>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11194" w:type="dxa"/>
            <w:gridSpan w:val="5"/>
            <w:tcBorders>
              <w:right w:val="nil"/>
            </w:tcBorders>
            <w:shd w:val="clear" w:color="auto" w:fill="D9D9D9" w:themeFill="background1" w:themeFillShade="D9"/>
          </w:tcPr>
          <w:p w:rsidR="00886B3B" w:rsidRPr="00886B3B" w:rsidRDefault="00886B3B" w:rsidP="00886B3B">
            <w:pPr>
              <w:tabs>
                <w:tab w:val="left" w:pos="306"/>
              </w:tabs>
              <w:rPr>
                <w:sz w:val="22"/>
                <w:szCs w:val="22"/>
              </w:rPr>
            </w:pPr>
            <w:r w:rsidRPr="00886B3B">
              <w:rPr>
                <w:sz w:val="22"/>
                <w:szCs w:val="22"/>
              </w:rPr>
              <w:t xml:space="preserve">    Benefit Requirements</w:t>
            </w:r>
          </w:p>
        </w:tc>
        <w:tc>
          <w:tcPr>
            <w:tcW w:w="1984" w:type="dxa"/>
            <w:tcBorders>
              <w:top w:val="single" w:sz="4" w:space="0" w:color="auto"/>
              <w:left w:val="nil"/>
              <w:bottom w:val="nil"/>
              <w:right w:val="nil"/>
            </w:tcBorders>
            <w:shd w:val="clear" w:color="auto" w:fill="D9D9D9" w:themeFill="background1" w:themeFillShade="D9"/>
            <w:noWrap/>
          </w:tcPr>
          <w:p w:rsidR="00886B3B" w:rsidRPr="00886B3B" w:rsidRDefault="00886B3B" w:rsidP="00886B3B">
            <w:pPr>
              <w:rPr>
                <w:sz w:val="20"/>
              </w:rPr>
            </w:pPr>
          </w:p>
        </w:tc>
        <w:tc>
          <w:tcPr>
            <w:tcW w:w="278" w:type="dxa"/>
            <w:tcBorders>
              <w:left w:val="nil"/>
            </w:tcBorders>
            <w:shd w:val="clear" w:color="auto" w:fill="D9D9D9" w:themeFill="background1" w:themeFillShade="D9"/>
            <w:noWrap/>
          </w:tcPr>
          <w:p w:rsidR="00886B3B" w:rsidRPr="00886B3B" w:rsidRDefault="00886B3B" w:rsidP="00886B3B">
            <w:pPr>
              <w:rPr>
                <w:sz w:val="22"/>
                <w:szCs w:val="22"/>
              </w:rPr>
            </w:pPr>
          </w:p>
        </w:tc>
      </w:tr>
      <w:tr w:rsidR="00886B3B" w:rsidRPr="00886B3B" w:rsidTr="00B122D6">
        <w:trPr>
          <w:trHeight w:val="132"/>
        </w:trPr>
        <w:tc>
          <w:tcPr>
            <w:tcW w:w="11194" w:type="dxa"/>
            <w:gridSpan w:val="5"/>
            <w:tcBorders>
              <w:right w:val="nil"/>
            </w:tcBorders>
            <w:shd w:val="clear" w:color="auto" w:fill="D9D9D9" w:themeFill="background1" w:themeFillShade="D9"/>
          </w:tcPr>
          <w:p w:rsidR="00886B3B" w:rsidRPr="00886B3B" w:rsidDel="00DA2958" w:rsidRDefault="00886B3B" w:rsidP="00886B3B">
            <w:pPr>
              <w:rPr>
                <w:sz w:val="22"/>
                <w:szCs w:val="22"/>
              </w:rPr>
            </w:pPr>
          </w:p>
        </w:tc>
        <w:tc>
          <w:tcPr>
            <w:tcW w:w="1984" w:type="dxa"/>
            <w:tcBorders>
              <w:top w:val="nil"/>
              <w:left w:val="nil"/>
              <w:bottom w:val="single" w:sz="4" w:space="0" w:color="auto"/>
              <w:right w:val="nil"/>
            </w:tcBorders>
            <w:shd w:val="clear" w:color="auto" w:fill="D9D9D9" w:themeFill="background1" w:themeFillShade="D9"/>
            <w:noWrap/>
          </w:tcPr>
          <w:p w:rsidR="00886B3B" w:rsidRPr="00886B3B" w:rsidRDefault="00886B3B" w:rsidP="00886B3B">
            <w:pPr>
              <w:rPr>
                <w:sz w:val="20"/>
              </w:rPr>
            </w:pPr>
          </w:p>
        </w:tc>
        <w:tc>
          <w:tcPr>
            <w:tcW w:w="278" w:type="dxa"/>
            <w:tcBorders>
              <w:left w:val="nil"/>
            </w:tcBorders>
            <w:shd w:val="clear" w:color="auto" w:fill="D9D9D9" w:themeFill="background1" w:themeFillShade="D9"/>
            <w:noWrap/>
          </w:tcPr>
          <w:p w:rsidR="00886B3B" w:rsidRPr="00886B3B" w:rsidRDefault="00886B3B" w:rsidP="00886B3B">
            <w:pPr>
              <w:rPr>
                <w:sz w:val="22"/>
                <w:szCs w:val="22"/>
              </w:rPr>
            </w:pPr>
          </w:p>
        </w:tc>
      </w:tr>
      <w:tr w:rsidR="00886B3B" w:rsidRPr="00886B3B" w:rsidTr="00B122D6">
        <w:trPr>
          <w:trHeight w:val="132"/>
        </w:trPr>
        <w:tc>
          <w:tcPr>
            <w:tcW w:w="11194" w:type="dxa"/>
            <w:gridSpan w:val="5"/>
            <w:tcBorders>
              <w:right w:val="nil"/>
            </w:tcBorders>
            <w:shd w:val="clear" w:color="auto" w:fill="D9D9D9" w:themeFill="background1" w:themeFillShade="D9"/>
          </w:tcPr>
          <w:p w:rsidR="00886B3B" w:rsidRPr="00886B3B" w:rsidDel="00DA2958" w:rsidRDefault="00886B3B" w:rsidP="00886B3B">
            <w:pPr>
              <w:rPr>
                <w:sz w:val="22"/>
                <w:szCs w:val="22"/>
              </w:rPr>
            </w:pPr>
          </w:p>
        </w:tc>
        <w:tc>
          <w:tcPr>
            <w:tcW w:w="1984" w:type="dxa"/>
            <w:tcBorders>
              <w:top w:val="single" w:sz="4" w:space="0" w:color="auto"/>
              <w:left w:val="nil"/>
              <w:bottom w:val="nil"/>
              <w:right w:val="nil"/>
            </w:tcBorders>
            <w:shd w:val="clear" w:color="auto" w:fill="D9D9D9" w:themeFill="background1" w:themeFillShade="D9"/>
            <w:noWrap/>
          </w:tcPr>
          <w:p w:rsidR="00886B3B" w:rsidRPr="00886B3B" w:rsidRDefault="00886B3B" w:rsidP="00886B3B">
            <w:pPr>
              <w:rPr>
                <w:sz w:val="20"/>
              </w:rPr>
            </w:pPr>
          </w:p>
        </w:tc>
        <w:tc>
          <w:tcPr>
            <w:tcW w:w="278" w:type="dxa"/>
            <w:tcBorders>
              <w:left w:val="nil"/>
            </w:tcBorders>
            <w:shd w:val="clear" w:color="auto" w:fill="D9D9D9" w:themeFill="background1" w:themeFillShade="D9"/>
            <w:noWrap/>
          </w:tcPr>
          <w:p w:rsidR="00886B3B" w:rsidRPr="00886B3B" w:rsidRDefault="00886B3B" w:rsidP="00886B3B">
            <w:pPr>
              <w:rPr>
                <w:sz w:val="22"/>
                <w:szCs w:val="22"/>
              </w:rPr>
            </w:pPr>
          </w:p>
        </w:tc>
      </w:tr>
      <w:tr w:rsidR="00886B3B" w:rsidRPr="00886B3B" w:rsidTr="00B122D6">
        <w:trPr>
          <w:trHeight w:val="300"/>
        </w:trPr>
        <w:tc>
          <w:tcPr>
            <w:tcW w:w="11194" w:type="dxa"/>
            <w:gridSpan w:val="5"/>
            <w:shd w:val="clear" w:color="auto" w:fill="D9D9D9" w:themeFill="background1" w:themeFillShade="D9"/>
            <w:hideMark/>
          </w:tcPr>
          <w:p w:rsidR="00886B3B" w:rsidRPr="00886B3B" w:rsidRDefault="00886B3B" w:rsidP="00886B3B">
            <w:pPr>
              <w:rPr>
                <w:b/>
                <w:bCs/>
                <w:sz w:val="22"/>
                <w:szCs w:val="22"/>
              </w:rPr>
            </w:pPr>
            <w:r w:rsidRPr="00886B3B">
              <w:rPr>
                <w:b/>
                <w:bCs/>
                <w:sz w:val="22"/>
                <w:szCs w:val="22"/>
              </w:rPr>
              <w:t>Key Contract Information on community benefit requirements imposed as part of a regulated procurement that were fulfilled during the period:</w:t>
            </w:r>
          </w:p>
        </w:tc>
        <w:tc>
          <w:tcPr>
            <w:tcW w:w="1984" w:type="dxa"/>
            <w:tcBorders>
              <w:top w:val="nil"/>
              <w:bottom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11194" w:type="dxa"/>
            <w:gridSpan w:val="5"/>
            <w:tcBorders>
              <w:right w:val="single" w:sz="4" w:space="0" w:color="auto"/>
            </w:tcBorders>
            <w:shd w:val="clear" w:color="auto" w:fill="D9D9D9" w:themeFill="background1" w:themeFillShade="D9"/>
            <w:hideMark/>
          </w:tcPr>
          <w:p w:rsidR="00886B3B" w:rsidRPr="00886B3B" w:rsidRDefault="00886B3B" w:rsidP="00886B3B">
            <w:pPr>
              <w:rPr>
                <w:sz w:val="22"/>
                <w:szCs w:val="22"/>
              </w:rPr>
            </w:pPr>
            <w:r w:rsidRPr="00886B3B">
              <w:rPr>
                <w:sz w:val="22"/>
                <w:szCs w:val="22"/>
              </w:rPr>
              <w:t>d) Number of Jobs Filled by Priority Groups</w:t>
            </w:r>
            <w:r w:rsidRPr="00886B3B">
              <w:rPr>
                <w:i/>
                <w:iCs/>
                <w:sz w:val="22"/>
                <w:szCs w:val="22"/>
              </w:rPr>
              <w:t xml:space="preserve"> (Each contracting authority sets its own priority groups)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B122D6" w:rsidRDefault="00886B3B" w:rsidP="00886B3B">
            <w:pPr>
              <w:rPr>
                <w:sz w:val="20"/>
              </w:rPr>
            </w:pPr>
            <w:r w:rsidRPr="00B122D6">
              <w:rPr>
                <w:sz w:val="20"/>
              </w:rPr>
              <w:t>Not recorded</w:t>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6931" w:type="dxa"/>
            <w:shd w:val="clear" w:color="auto" w:fill="D9D9D9" w:themeFill="background1" w:themeFillShade="D9"/>
            <w:hideMark/>
          </w:tcPr>
          <w:p w:rsidR="00886B3B" w:rsidRPr="00886B3B" w:rsidRDefault="00886B3B" w:rsidP="00886B3B">
            <w:pPr>
              <w:rPr>
                <w:sz w:val="22"/>
                <w:szCs w:val="22"/>
              </w:rPr>
            </w:pPr>
            <w:r w:rsidRPr="00886B3B">
              <w:rPr>
                <w:sz w:val="22"/>
                <w:szCs w:val="22"/>
              </w:rPr>
              <w:t>e) Number of Apprenticeships Filled by Priority Groups</w:t>
            </w:r>
          </w:p>
        </w:tc>
        <w:tc>
          <w:tcPr>
            <w:tcW w:w="278" w:type="dxa"/>
            <w:tcBorders>
              <w:top w:val="nil"/>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940" w:type="dxa"/>
            <w:tcBorders>
              <w:top w:val="nil"/>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191" w:type="dxa"/>
            <w:tcBorders>
              <w:top w:val="nil"/>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854" w:type="dxa"/>
            <w:tcBorders>
              <w:top w:val="nil"/>
              <w:righ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B122D6" w:rsidRDefault="00886B3B" w:rsidP="00886B3B">
            <w:pPr>
              <w:rPr>
                <w:sz w:val="20"/>
              </w:rPr>
            </w:pPr>
            <w:r w:rsidRPr="00B122D6">
              <w:rPr>
                <w:sz w:val="20"/>
              </w:rPr>
              <w:t>Nor recorded</w:t>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6931" w:type="dxa"/>
            <w:shd w:val="clear" w:color="auto" w:fill="D9D9D9" w:themeFill="background1" w:themeFillShade="D9"/>
            <w:hideMark/>
          </w:tcPr>
          <w:p w:rsidR="00886B3B" w:rsidRPr="00886B3B" w:rsidRDefault="00886B3B" w:rsidP="00886B3B">
            <w:pPr>
              <w:rPr>
                <w:sz w:val="22"/>
                <w:szCs w:val="22"/>
              </w:rPr>
            </w:pPr>
            <w:r w:rsidRPr="00886B3B">
              <w:rPr>
                <w:sz w:val="22"/>
                <w:szCs w:val="22"/>
              </w:rPr>
              <w:t>f) Number of Work Placements for Priority Groups</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940"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19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854" w:type="dxa"/>
            <w:tcBorders>
              <w:righ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B122D6" w:rsidRDefault="00886B3B" w:rsidP="00886B3B">
            <w:pPr>
              <w:rPr>
                <w:sz w:val="20"/>
              </w:rPr>
            </w:pPr>
            <w:r w:rsidRPr="00B122D6">
              <w:rPr>
                <w:sz w:val="20"/>
              </w:rPr>
              <w:t>Not recorded</w:t>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11194" w:type="dxa"/>
            <w:gridSpan w:val="5"/>
            <w:tcBorders>
              <w:right w:val="single" w:sz="4" w:space="0" w:color="auto"/>
            </w:tcBorders>
            <w:shd w:val="clear" w:color="auto" w:fill="D9D9D9" w:themeFill="background1" w:themeFillShade="D9"/>
            <w:hideMark/>
          </w:tcPr>
          <w:p w:rsidR="00886B3B" w:rsidRPr="00886B3B" w:rsidRDefault="00886B3B" w:rsidP="00886B3B">
            <w:pPr>
              <w:rPr>
                <w:sz w:val="22"/>
                <w:szCs w:val="22"/>
              </w:rPr>
            </w:pPr>
            <w:r w:rsidRPr="00886B3B">
              <w:rPr>
                <w:sz w:val="22"/>
                <w:szCs w:val="22"/>
              </w:rPr>
              <w:t>g) Number of Qualifications Achieved Through Training by Priority Groups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B122D6" w:rsidRDefault="00886B3B" w:rsidP="00886B3B">
            <w:pPr>
              <w:rPr>
                <w:sz w:val="20"/>
              </w:rPr>
            </w:pPr>
            <w:r w:rsidRPr="00B122D6">
              <w:rPr>
                <w:sz w:val="20"/>
              </w:rPr>
              <w:t>Not recorded</w:t>
            </w:r>
          </w:p>
        </w:tc>
        <w:tc>
          <w:tcPr>
            <w:tcW w:w="278" w:type="dxa"/>
            <w:tcBorders>
              <w:top w:val="nil"/>
              <w:left w:val="single" w:sz="4" w:space="0" w:color="auto"/>
              <w:bottom w:val="nil"/>
              <w:righ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6931" w:type="dxa"/>
            <w:shd w:val="clear" w:color="auto" w:fill="D9D9D9" w:themeFill="background1" w:themeFillShade="D9"/>
            <w:hideMark/>
          </w:tcPr>
          <w:p w:rsidR="00886B3B" w:rsidRPr="00886B3B" w:rsidRDefault="00886B3B" w:rsidP="00886B3B">
            <w:pPr>
              <w:rPr>
                <w:sz w:val="22"/>
                <w:szCs w:val="22"/>
              </w:rPr>
            </w:pPr>
            <w:r w:rsidRPr="00886B3B">
              <w:rPr>
                <w:sz w:val="22"/>
                <w:szCs w:val="22"/>
              </w:rPr>
              <w:t>h) Total Value of contracts sub-contracted to SMEs</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940"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19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854" w:type="dxa"/>
            <w:tcBorders>
              <w:righ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B122D6" w:rsidRDefault="00886B3B" w:rsidP="00886B3B">
            <w:pPr>
              <w:rPr>
                <w:sz w:val="20"/>
              </w:rPr>
            </w:pPr>
            <w:r w:rsidRPr="00B122D6">
              <w:rPr>
                <w:sz w:val="20"/>
              </w:rPr>
              <w:t>Not recorded</w:t>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6931" w:type="dxa"/>
            <w:shd w:val="clear" w:color="auto" w:fill="D9D9D9" w:themeFill="background1" w:themeFillShade="D9"/>
            <w:hideMark/>
          </w:tcPr>
          <w:p w:rsidR="00886B3B" w:rsidRPr="00886B3B" w:rsidRDefault="00886B3B" w:rsidP="00886B3B">
            <w:pPr>
              <w:rPr>
                <w:sz w:val="22"/>
                <w:szCs w:val="22"/>
              </w:rPr>
            </w:pPr>
            <w:r w:rsidRPr="00886B3B">
              <w:rPr>
                <w:sz w:val="22"/>
                <w:szCs w:val="22"/>
              </w:rPr>
              <w:t>i) Total Value of contracts sub-contracted to Social Enterprises</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940"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19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854" w:type="dxa"/>
            <w:tcBorders>
              <w:righ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B122D6" w:rsidRDefault="00886B3B" w:rsidP="00886B3B">
            <w:pPr>
              <w:rPr>
                <w:sz w:val="20"/>
              </w:rPr>
            </w:pPr>
            <w:r w:rsidRPr="00B122D6">
              <w:rPr>
                <w:sz w:val="20"/>
              </w:rPr>
              <w:t>Not recorded</w:t>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6931" w:type="dxa"/>
            <w:shd w:val="clear" w:color="auto" w:fill="D9D9D9" w:themeFill="background1" w:themeFillShade="D9"/>
            <w:hideMark/>
          </w:tcPr>
          <w:p w:rsidR="00886B3B" w:rsidRPr="00886B3B" w:rsidRDefault="00886B3B" w:rsidP="00886B3B">
            <w:pPr>
              <w:rPr>
                <w:sz w:val="22"/>
                <w:szCs w:val="22"/>
              </w:rPr>
            </w:pPr>
            <w:r w:rsidRPr="00886B3B">
              <w:rPr>
                <w:sz w:val="22"/>
                <w:szCs w:val="22"/>
              </w:rPr>
              <w:t>j) Total Value of contracts sub-contracted to Supported Businesses</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940"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19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854" w:type="dxa"/>
            <w:tcBorders>
              <w:right w:val="single" w:sz="4" w:space="0" w:color="auto"/>
            </w:tcBorders>
            <w:shd w:val="clear" w:color="auto" w:fill="D9D9D9" w:themeFill="background1" w:themeFillShade="D9"/>
            <w:noWrap/>
            <w:hideMark/>
          </w:tcPr>
          <w:p w:rsidR="00886B3B" w:rsidRPr="00886B3B" w:rsidRDefault="00886B3B" w:rsidP="00886B3B">
            <w:pPr>
              <w:rPr>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B122D6" w:rsidRDefault="00886B3B" w:rsidP="00886B3B">
            <w:pPr>
              <w:rPr>
                <w:sz w:val="20"/>
              </w:rPr>
            </w:pPr>
            <w:r w:rsidRPr="00B122D6">
              <w:rPr>
                <w:sz w:val="20"/>
              </w:rPr>
              <w:t>Not recorded</w:t>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6931" w:type="dxa"/>
            <w:shd w:val="clear" w:color="auto" w:fill="D9D9D9" w:themeFill="background1" w:themeFillShade="D9"/>
            <w:hideMark/>
          </w:tcPr>
          <w:p w:rsidR="00886B3B" w:rsidRPr="00886B3B" w:rsidRDefault="00886B3B" w:rsidP="00886B3B">
            <w:pPr>
              <w:rPr>
                <w:sz w:val="22"/>
                <w:szCs w:val="22"/>
              </w:rPr>
            </w:pPr>
            <w:r w:rsidRPr="00886B3B">
              <w:rPr>
                <w:sz w:val="22"/>
                <w:szCs w:val="22"/>
              </w:rPr>
              <w:t>k) Other community benefit(s) fulfilled</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940"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19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854" w:type="dxa"/>
            <w:tcBorders>
              <w:right w:val="single" w:sz="4" w:space="0" w:color="auto"/>
            </w:tcBorders>
            <w:shd w:val="clear" w:color="auto" w:fill="D9D9D9" w:themeFill="background1" w:themeFillShade="D9"/>
            <w:noWrap/>
            <w:hideMark/>
          </w:tcPr>
          <w:p w:rsidR="00886B3B" w:rsidRPr="00886B3B" w:rsidRDefault="00886B3B" w:rsidP="00886B3B">
            <w:pPr>
              <w:rPr>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B122D6" w:rsidRDefault="00886B3B" w:rsidP="00886B3B">
            <w:pPr>
              <w:rPr>
                <w:sz w:val="20"/>
              </w:rPr>
            </w:pPr>
            <w:r w:rsidRPr="00B122D6">
              <w:rPr>
                <w:sz w:val="20"/>
              </w:rPr>
              <w:t>Not recorded</w:t>
            </w:r>
            <w:r w:rsidRPr="00B122D6">
              <w:rPr>
                <w:sz w:val="20"/>
              </w:rPr>
              <w:fldChar w:fldCharType="begin"/>
            </w:r>
            <w:r w:rsidRPr="00B122D6">
              <w:rPr>
                <w:sz w:val="20"/>
              </w:rPr>
              <w:instrText>MERGEFIELD Name</w:instrText>
            </w:r>
            <w:r w:rsidRPr="00B122D6">
              <w:rPr>
                <w:sz w:val="20"/>
              </w:rPr>
              <w:fldChar w:fldCharType="end"/>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284"/>
        </w:trPr>
        <w:tc>
          <w:tcPr>
            <w:tcW w:w="6931" w:type="dxa"/>
            <w:shd w:val="clear" w:color="auto" w:fill="D9D9D9" w:themeFill="background1" w:themeFillShade="D9"/>
            <w:hideMark/>
          </w:tcPr>
          <w:p w:rsidR="00886B3B" w:rsidRPr="00886B3B" w:rsidRDefault="00886B3B" w:rsidP="00886B3B">
            <w:pPr>
              <w:rPr>
                <w:sz w:val="18"/>
                <w:szCs w:val="18"/>
              </w:rPr>
            </w:pPr>
            <w:r w:rsidRPr="00886B3B">
              <w:rPr>
                <w:sz w:val="18"/>
                <w:szCs w:val="18"/>
              </w:rPr>
              <w:t> </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940"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19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854"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1984" w:type="dxa"/>
            <w:tcBorders>
              <w:top w:val="single" w:sz="4" w:space="0" w:color="auto"/>
            </w:tcBorders>
            <w:shd w:val="clear" w:color="auto" w:fill="D9D9D9" w:themeFill="background1" w:themeFillShade="D9"/>
            <w:noWrap/>
            <w:hideMark/>
          </w:tcPr>
          <w:p w:rsidR="00886B3B" w:rsidRPr="00B122D6" w:rsidRDefault="00886B3B" w:rsidP="00886B3B">
            <w:pPr>
              <w:rPr>
                <w:sz w:val="22"/>
                <w:szCs w:val="22"/>
              </w:rPr>
            </w:pPr>
            <w:r w:rsidRPr="00B122D6">
              <w:rPr>
                <w:sz w:val="22"/>
                <w:szCs w:val="22"/>
              </w:rPr>
              <w:t> </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405"/>
        </w:trPr>
        <w:tc>
          <w:tcPr>
            <w:tcW w:w="6931" w:type="dxa"/>
            <w:shd w:val="clear" w:color="auto" w:fill="D9D9D9" w:themeFill="background1" w:themeFillShade="D9"/>
            <w:hideMark/>
          </w:tcPr>
          <w:p w:rsidR="00886B3B" w:rsidRPr="00886B3B" w:rsidRDefault="00886B3B" w:rsidP="00886B3B">
            <w:pPr>
              <w:rPr>
                <w:b/>
                <w:bCs/>
                <w:sz w:val="22"/>
                <w:szCs w:val="22"/>
                <w:u w:val="single"/>
              </w:rPr>
            </w:pPr>
            <w:r w:rsidRPr="00886B3B">
              <w:rPr>
                <w:b/>
                <w:bCs/>
                <w:sz w:val="22"/>
                <w:szCs w:val="22"/>
                <w:u w:val="single"/>
              </w:rPr>
              <w:t>5. Fair Work and the real Living Wage</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940"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19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854"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1984" w:type="dxa"/>
            <w:tcBorders>
              <w:bottom w:val="single" w:sz="4" w:space="0" w:color="auto"/>
            </w:tcBorders>
            <w:shd w:val="clear" w:color="auto" w:fill="D9D9D9" w:themeFill="background1" w:themeFillShade="D9"/>
            <w:noWrap/>
            <w:hideMark/>
          </w:tcPr>
          <w:p w:rsidR="00886B3B" w:rsidRPr="00B122D6" w:rsidRDefault="00886B3B" w:rsidP="00886B3B">
            <w:pPr>
              <w:rPr>
                <w:sz w:val="22"/>
                <w:szCs w:val="22"/>
              </w:rPr>
            </w:pPr>
            <w:r w:rsidRPr="00B122D6">
              <w:rPr>
                <w:sz w:val="22"/>
                <w:szCs w:val="22"/>
              </w:rPr>
              <w:t> </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10340" w:type="dxa"/>
            <w:gridSpan w:val="4"/>
            <w:shd w:val="clear" w:color="auto" w:fill="D9D9D9" w:themeFill="background1" w:themeFillShade="D9"/>
            <w:hideMark/>
          </w:tcPr>
          <w:p w:rsidR="00886B3B" w:rsidRPr="00886B3B" w:rsidRDefault="00886B3B" w:rsidP="00886B3B">
            <w:pPr>
              <w:rPr>
                <w:sz w:val="22"/>
                <w:szCs w:val="22"/>
              </w:rPr>
            </w:pPr>
            <w:r w:rsidRPr="00886B3B">
              <w:rPr>
                <w:sz w:val="22"/>
                <w:szCs w:val="22"/>
              </w:rPr>
              <w:t xml:space="preserve">a) Number of regulated contracts awarded during the period that have included a scored Fair Work         </w:t>
            </w:r>
          </w:p>
        </w:tc>
        <w:tc>
          <w:tcPr>
            <w:tcW w:w="854" w:type="dxa"/>
            <w:tcBorders>
              <w:righ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B122D6" w:rsidRDefault="00886B3B" w:rsidP="00886B3B">
            <w:pPr>
              <w:rPr>
                <w:sz w:val="20"/>
              </w:rPr>
            </w:pPr>
            <w:r w:rsidRPr="00B122D6">
              <w:rPr>
                <w:sz w:val="20"/>
              </w:rPr>
              <w:t>Not recorded</w:t>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10340" w:type="dxa"/>
            <w:gridSpan w:val="4"/>
            <w:shd w:val="clear" w:color="auto" w:fill="D9D9D9" w:themeFill="background1" w:themeFillShade="D9"/>
          </w:tcPr>
          <w:p w:rsidR="00886B3B" w:rsidRPr="00886B3B" w:rsidRDefault="00886B3B" w:rsidP="00886B3B">
            <w:pPr>
              <w:rPr>
                <w:sz w:val="22"/>
                <w:szCs w:val="22"/>
              </w:rPr>
            </w:pPr>
            <w:r w:rsidRPr="00886B3B">
              <w:rPr>
                <w:sz w:val="22"/>
                <w:szCs w:val="22"/>
              </w:rPr>
              <w:t xml:space="preserve">    criterion.</w:t>
            </w:r>
          </w:p>
        </w:tc>
        <w:tc>
          <w:tcPr>
            <w:tcW w:w="854" w:type="dxa"/>
            <w:tcBorders>
              <w:right w:val="nil"/>
            </w:tcBorders>
            <w:shd w:val="clear" w:color="auto" w:fill="D9D9D9" w:themeFill="background1" w:themeFillShade="D9"/>
            <w:noWrap/>
          </w:tcPr>
          <w:p w:rsidR="00886B3B" w:rsidRPr="00886B3B" w:rsidRDefault="00886B3B" w:rsidP="00886B3B">
            <w:pPr>
              <w:rPr>
                <w:sz w:val="22"/>
                <w:szCs w:val="22"/>
              </w:rPr>
            </w:pPr>
          </w:p>
        </w:tc>
        <w:tc>
          <w:tcPr>
            <w:tcW w:w="1984" w:type="dxa"/>
            <w:tcBorders>
              <w:top w:val="nil"/>
              <w:left w:val="nil"/>
              <w:bottom w:val="single" w:sz="4" w:space="0" w:color="auto"/>
              <w:right w:val="nil"/>
            </w:tcBorders>
            <w:shd w:val="clear" w:color="auto" w:fill="D9D9D9" w:themeFill="background1" w:themeFillShade="D9"/>
            <w:noWrap/>
          </w:tcPr>
          <w:p w:rsidR="00886B3B" w:rsidRPr="00B122D6" w:rsidRDefault="00886B3B" w:rsidP="00886B3B">
            <w:pPr>
              <w:rPr>
                <w:sz w:val="20"/>
              </w:rPr>
            </w:pPr>
          </w:p>
        </w:tc>
        <w:tc>
          <w:tcPr>
            <w:tcW w:w="278" w:type="dxa"/>
            <w:tcBorders>
              <w:left w:val="nil"/>
            </w:tcBorders>
            <w:shd w:val="clear" w:color="auto" w:fill="D9D9D9" w:themeFill="background1" w:themeFillShade="D9"/>
            <w:noWrap/>
          </w:tcPr>
          <w:p w:rsidR="00886B3B" w:rsidRPr="00886B3B" w:rsidRDefault="00886B3B" w:rsidP="00886B3B">
            <w:pPr>
              <w:rPr>
                <w:sz w:val="22"/>
                <w:szCs w:val="22"/>
              </w:rPr>
            </w:pPr>
          </w:p>
        </w:tc>
      </w:tr>
      <w:tr w:rsidR="00886B3B" w:rsidRPr="00886B3B" w:rsidTr="00B122D6">
        <w:trPr>
          <w:trHeight w:val="300"/>
        </w:trPr>
        <w:tc>
          <w:tcPr>
            <w:tcW w:w="11194" w:type="dxa"/>
            <w:gridSpan w:val="5"/>
            <w:tcBorders>
              <w:right w:val="single" w:sz="4" w:space="0" w:color="auto"/>
            </w:tcBorders>
            <w:shd w:val="clear" w:color="auto" w:fill="D9D9D9" w:themeFill="background1" w:themeFillShade="D9"/>
            <w:hideMark/>
          </w:tcPr>
          <w:p w:rsidR="00886B3B" w:rsidRPr="00886B3B" w:rsidRDefault="00886B3B" w:rsidP="00886B3B">
            <w:pPr>
              <w:rPr>
                <w:sz w:val="22"/>
                <w:szCs w:val="22"/>
              </w:rPr>
            </w:pPr>
            <w:r w:rsidRPr="00886B3B">
              <w:rPr>
                <w:sz w:val="22"/>
                <w:szCs w:val="22"/>
              </w:rPr>
              <w:t xml:space="preserve">b) Number of unique suppliers who have committed to pay the real Living Wage in the delivery of a regulated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B122D6" w:rsidRDefault="00886B3B" w:rsidP="00886B3B">
            <w:pPr>
              <w:rPr>
                <w:sz w:val="20"/>
              </w:rPr>
            </w:pPr>
            <w:r w:rsidRPr="00B122D6">
              <w:rPr>
                <w:sz w:val="20"/>
              </w:rPr>
              <w:t>Not recorded</w:t>
            </w:r>
            <w:r w:rsidRPr="00B122D6">
              <w:rPr>
                <w:sz w:val="20"/>
              </w:rPr>
              <w:fldChar w:fldCharType="begin"/>
            </w:r>
            <w:r w:rsidRPr="00B122D6">
              <w:rPr>
                <w:sz w:val="20"/>
              </w:rPr>
              <w:instrText>MERGEFIELD Name</w:instrText>
            </w:r>
            <w:r w:rsidRPr="00B122D6">
              <w:rPr>
                <w:sz w:val="20"/>
              </w:rPr>
              <w:fldChar w:fldCharType="end"/>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11194" w:type="dxa"/>
            <w:gridSpan w:val="5"/>
            <w:shd w:val="clear" w:color="auto" w:fill="D9D9D9" w:themeFill="background1" w:themeFillShade="D9"/>
          </w:tcPr>
          <w:p w:rsidR="00886B3B" w:rsidRPr="00886B3B" w:rsidRDefault="00886B3B" w:rsidP="00886B3B">
            <w:pPr>
              <w:rPr>
                <w:sz w:val="22"/>
                <w:szCs w:val="22"/>
              </w:rPr>
            </w:pPr>
            <w:r w:rsidRPr="00886B3B">
              <w:rPr>
                <w:sz w:val="22"/>
                <w:szCs w:val="22"/>
              </w:rPr>
              <w:t xml:space="preserve">    contract awarded during the period.</w:t>
            </w:r>
          </w:p>
        </w:tc>
        <w:tc>
          <w:tcPr>
            <w:tcW w:w="1984" w:type="dxa"/>
            <w:tcBorders>
              <w:top w:val="single" w:sz="4" w:space="0" w:color="auto"/>
              <w:bottom w:val="single" w:sz="4" w:space="0" w:color="auto"/>
            </w:tcBorders>
            <w:shd w:val="clear" w:color="auto" w:fill="D9D9D9" w:themeFill="background1" w:themeFillShade="D9"/>
            <w:noWrap/>
          </w:tcPr>
          <w:p w:rsidR="00886B3B" w:rsidRPr="00B122D6" w:rsidRDefault="00886B3B" w:rsidP="00886B3B">
            <w:pPr>
              <w:rPr>
                <w:sz w:val="22"/>
                <w:szCs w:val="22"/>
              </w:rPr>
            </w:pPr>
          </w:p>
        </w:tc>
        <w:tc>
          <w:tcPr>
            <w:tcW w:w="278" w:type="dxa"/>
            <w:shd w:val="clear" w:color="auto" w:fill="D9D9D9" w:themeFill="background1" w:themeFillShade="D9"/>
            <w:noWrap/>
          </w:tcPr>
          <w:p w:rsidR="00886B3B" w:rsidRPr="00886B3B" w:rsidRDefault="00886B3B" w:rsidP="00886B3B">
            <w:pPr>
              <w:rPr>
                <w:sz w:val="22"/>
                <w:szCs w:val="22"/>
              </w:rPr>
            </w:pPr>
          </w:p>
        </w:tc>
      </w:tr>
      <w:tr w:rsidR="00886B3B" w:rsidRPr="00886B3B" w:rsidTr="00B122D6">
        <w:trPr>
          <w:trHeight w:val="300"/>
        </w:trPr>
        <w:tc>
          <w:tcPr>
            <w:tcW w:w="11194" w:type="dxa"/>
            <w:gridSpan w:val="5"/>
            <w:tcBorders>
              <w:right w:val="single" w:sz="4" w:space="0" w:color="auto"/>
            </w:tcBorders>
            <w:shd w:val="clear" w:color="auto" w:fill="D9D9D9" w:themeFill="background1" w:themeFillShade="D9"/>
            <w:hideMark/>
          </w:tcPr>
          <w:p w:rsidR="00886B3B" w:rsidRPr="00886B3B" w:rsidRDefault="00886B3B" w:rsidP="00886B3B">
            <w:pPr>
              <w:rPr>
                <w:sz w:val="22"/>
                <w:szCs w:val="22"/>
              </w:rPr>
            </w:pPr>
            <w:r w:rsidRPr="00886B3B">
              <w:rPr>
                <w:sz w:val="22"/>
                <w:szCs w:val="22"/>
              </w:rPr>
              <w:t>c) Number of unique suppliers who are accredited Living Wage employers and were awarded a regulated</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B122D6" w:rsidRDefault="00886B3B" w:rsidP="00886B3B">
            <w:pPr>
              <w:rPr>
                <w:sz w:val="20"/>
              </w:rPr>
            </w:pPr>
            <w:r w:rsidRPr="00B122D6">
              <w:rPr>
                <w:sz w:val="20"/>
              </w:rPr>
              <w:t>Not recorded</w:t>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11194" w:type="dxa"/>
            <w:gridSpan w:val="5"/>
            <w:shd w:val="clear" w:color="auto" w:fill="D9D9D9" w:themeFill="background1" w:themeFillShade="D9"/>
          </w:tcPr>
          <w:p w:rsidR="00886B3B" w:rsidRPr="00886B3B" w:rsidRDefault="00886B3B" w:rsidP="00886B3B">
            <w:pPr>
              <w:rPr>
                <w:sz w:val="22"/>
                <w:szCs w:val="22"/>
              </w:rPr>
            </w:pPr>
            <w:r w:rsidRPr="00886B3B">
              <w:rPr>
                <w:sz w:val="22"/>
                <w:szCs w:val="22"/>
              </w:rPr>
              <w:t xml:space="preserve">    contract awarded during the period.</w:t>
            </w:r>
          </w:p>
        </w:tc>
        <w:tc>
          <w:tcPr>
            <w:tcW w:w="1984" w:type="dxa"/>
            <w:tcBorders>
              <w:top w:val="single" w:sz="4" w:space="0" w:color="auto"/>
              <w:bottom w:val="single" w:sz="4" w:space="0" w:color="auto"/>
            </w:tcBorders>
            <w:shd w:val="clear" w:color="auto" w:fill="D9D9D9" w:themeFill="background1" w:themeFillShade="D9"/>
            <w:noWrap/>
          </w:tcPr>
          <w:p w:rsidR="00886B3B" w:rsidRPr="00A32127" w:rsidRDefault="00886B3B" w:rsidP="00886B3B">
            <w:pPr>
              <w:rPr>
                <w:color w:val="FF0000"/>
                <w:sz w:val="22"/>
                <w:szCs w:val="22"/>
              </w:rPr>
            </w:pPr>
          </w:p>
        </w:tc>
        <w:tc>
          <w:tcPr>
            <w:tcW w:w="278" w:type="dxa"/>
            <w:shd w:val="clear" w:color="auto" w:fill="D9D9D9" w:themeFill="background1" w:themeFillShade="D9"/>
            <w:noWrap/>
          </w:tcPr>
          <w:p w:rsidR="00886B3B" w:rsidRPr="00886B3B" w:rsidRDefault="00886B3B" w:rsidP="00886B3B">
            <w:pPr>
              <w:rPr>
                <w:sz w:val="22"/>
                <w:szCs w:val="22"/>
              </w:rPr>
            </w:pPr>
          </w:p>
        </w:tc>
      </w:tr>
      <w:tr w:rsidR="00886B3B" w:rsidRPr="00886B3B" w:rsidTr="00B122D6">
        <w:trPr>
          <w:trHeight w:val="300"/>
        </w:trPr>
        <w:tc>
          <w:tcPr>
            <w:tcW w:w="11194" w:type="dxa"/>
            <w:gridSpan w:val="5"/>
            <w:tcBorders>
              <w:right w:val="single" w:sz="4" w:space="0" w:color="auto"/>
            </w:tcBorders>
            <w:shd w:val="clear" w:color="auto" w:fill="D9D9D9" w:themeFill="background1" w:themeFillShade="D9"/>
            <w:hideMark/>
          </w:tcPr>
          <w:p w:rsidR="00886B3B" w:rsidRPr="00B122D6" w:rsidRDefault="00886B3B" w:rsidP="00886B3B">
            <w:pPr>
              <w:rPr>
                <w:sz w:val="22"/>
                <w:szCs w:val="22"/>
              </w:rPr>
            </w:pPr>
            <w:r w:rsidRPr="00B122D6">
              <w:rPr>
                <w:sz w:val="22"/>
                <w:szCs w:val="22"/>
              </w:rPr>
              <w:t xml:space="preserve">d) Number of unique suppliers who have signed up to the Scottish Business Pledge and were awarded a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B122D6" w:rsidRDefault="00886B3B" w:rsidP="00886B3B">
            <w:pPr>
              <w:rPr>
                <w:sz w:val="20"/>
              </w:rPr>
            </w:pPr>
            <w:r w:rsidRPr="00B122D6">
              <w:rPr>
                <w:sz w:val="20"/>
              </w:rPr>
              <w:t>Not recorded</w:t>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11194" w:type="dxa"/>
            <w:gridSpan w:val="5"/>
            <w:shd w:val="clear" w:color="auto" w:fill="D9D9D9" w:themeFill="background1" w:themeFillShade="D9"/>
          </w:tcPr>
          <w:p w:rsidR="00886B3B" w:rsidRPr="00886B3B" w:rsidRDefault="00886B3B" w:rsidP="00886B3B">
            <w:pPr>
              <w:rPr>
                <w:sz w:val="22"/>
                <w:szCs w:val="22"/>
              </w:rPr>
            </w:pPr>
            <w:r w:rsidRPr="00886B3B">
              <w:rPr>
                <w:sz w:val="22"/>
                <w:szCs w:val="22"/>
              </w:rPr>
              <w:t xml:space="preserve">    regulated contract awarded during the period.</w:t>
            </w:r>
          </w:p>
        </w:tc>
        <w:tc>
          <w:tcPr>
            <w:tcW w:w="1984" w:type="dxa"/>
            <w:tcBorders>
              <w:top w:val="single" w:sz="4" w:space="0" w:color="auto"/>
            </w:tcBorders>
            <w:shd w:val="clear" w:color="auto" w:fill="D9D9D9" w:themeFill="background1" w:themeFillShade="D9"/>
            <w:noWrap/>
          </w:tcPr>
          <w:p w:rsidR="00886B3B" w:rsidRPr="00886B3B" w:rsidRDefault="00886B3B" w:rsidP="00886B3B">
            <w:pPr>
              <w:rPr>
                <w:sz w:val="22"/>
                <w:szCs w:val="22"/>
              </w:rPr>
            </w:pPr>
          </w:p>
        </w:tc>
        <w:tc>
          <w:tcPr>
            <w:tcW w:w="278" w:type="dxa"/>
            <w:shd w:val="clear" w:color="auto" w:fill="D9D9D9" w:themeFill="background1" w:themeFillShade="D9"/>
            <w:noWrap/>
          </w:tcPr>
          <w:p w:rsidR="00886B3B" w:rsidRPr="00886B3B" w:rsidRDefault="00886B3B" w:rsidP="00886B3B">
            <w:pPr>
              <w:rPr>
                <w:sz w:val="22"/>
                <w:szCs w:val="22"/>
              </w:rPr>
            </w:pPr>
          </w:p>
        </w:tc>
      </w:tr>
      <w:tr w:rsidR="00886B3B" w:rsidRPr="00886B3B" w:rsidTr="00B122D6">
        <w:trPr>
          <w:trHeight w:val="83"/>
        </w:trPr>
        <w:tc>
          <w:tcPr>
            <w:tcW w:w="6931" w:type="dxa"/>
            <w:shd w:val="clear" w:color="auto" w:fill="D9D9D9" w:themeFill="background1" w:themeFillShade="D9"/>
            <w:hideMark/>
          </w:tcPr>
          <w:p w:rsidR="00886B3B" w:rsidRPr="00886B3B" w:rsidRDefault="00886B3B" w:rsidP="00886B3B">
            <w:pPr>
              <w:rPr>
                <w:sz w:val="22"/>
                <w:szCs w:val="22"/>
              </w:rPr>
            </w:pPr>
            <w:r w:rsidRPr="00886B3B">
              <w:rPr>
                <w:sz w:val="22"/>
                <w:szCs w:val="22"/>
              </w:rPr>
              <w:t> </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940"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19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854"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1984"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435"/>
        </w:trPr>
        <w:tc>
          <w:tcPr>
            <w:tcW w:w="6931" w:type="dxa"/>
            <w:shd w:val="clear" w:color="auto" w:fill="D9D9D9" w:themeFill="background1" w:themeFillShade="D9"/>
            <w:hideMark/>
          </w:tcPr>
          <w:p w:rsidR="00886B3B" w:rsidRPr="00886B3B" w:rsidRDefault="00886B3B" w:rsidP="00886B3B">
            <w:pPr>
              <w:rPr>
                <w:b/>
                <w:bCs/>
                <w:sz w:val="22"/>
                <w:szCs w:val="22"/>
                <w:u w:val="single"/>
              </w:rPr>
            </w:pPr>
            <w:r w:rsidRPr="00886B3B">
              <w:rPr>
                <w:b/>
                <w:bCs/>
                <w:sz w:val="22"/>
                <w:szCs w:val="22"/>
                <w:u w:val="single"/>
              </w:rPr>
              <w:t>6. Payment performance</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940"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19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854"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1984" w:type="dxa"/>
            <w:tcBorders>
              <w:bottom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6931" w:type="dxa"/>
            <w:shd w:val="clear" w:color="auto" w:fill="D9D9D9" w:themeFill="background1" w:themeFillShade="D9"/>
            <w:hideMark/>
          </w:tcPr>
          <w:p w:rsidR="00886B3B" w:rsidRPr="00886B3B" w:rsidRDefault="00886B3B" w:rsidP="00886B3B">
            <w:pPr>
              <w:rPr>
                <w:sz w:val="22"/>
                <w:szCs w:val="22"/>
              </w:rPr>
            </w:pPr>
            <w:r w:rsidRPr="00886B3B">
              <w:rPr>
                <w:sz w:val="22"/>
                <w:szCs w:val="22"/>
              </w:rPr>
              <w:t>a) Number of valid invoices received during the reporting period.</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940"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19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854" w:type="dxa"/>
            <w:tcBorders>
              <w:righ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282B34" w:rsidRDefault="00282B34" w:rsidP="00886B3B">
            <w:pPr>
              <w:rPr>
                <w:sz w:val="20"/>
              </w:rPr>
            </w:pPr>
            <w:r w:rsidRPr="00282B34">
              <w:rPr>
                <w:sz w:val="20"/>
              </w:rPr>
              <w:t>88740</w:t>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15"/>
        </w:trPr>
        <w:tc>
          <w:tcPr>
            <w:tcW w:w="11194" w:type="dxa"/>
            <w:gridSpan w:val="5"/>
            <w:tcBorders>
              <w:right w:val="single" w:sz="4" w:space="0" w:color="auto"/>
            </w:tcBorders>
            <w:shd w:val="clear" w:color="auto" w:fill="D9D9D9" w:themeFill="background1" w:themeFillShade="D9"/>
            <w:hideMark/>
          </w:tcPr>
          <w:p w:rsidR="00886B3B" w:rsidRPr="00886B3B" w:rsidRDefault="00886B3B" w:rsidP="00886B3B">
            <w:pPr>
              <w:rPr>
                <w:sz w:val="22"/>
                <w:szCs w:val="22"/>
              </w:rPr>
            </w:pPr>
            <w:r w:rsidRPr="00886B3B">
              <w:rPr>
                <w:sz w:val="22"/>
                <w:szCs w:val="22"/>
              </w:rPr>
              <w:t>b) Percentage of invoices paid on time during the period</w:t>
            </w:r>
            <w:r w:rsidRPr="00886B3B">
              <w:rPr>
                <w:sz w:val="20"/>
              </w:rPr>
              <w:t xml:space="preserve"> (</w:t>
            </w:r>
            <w:r w:rsidRPr="00886B3B">
              <w:rPr>
                <w:sz w:val="22"/>
                <w:szCs w:val="22"/>
              </w:rPr>
              <w:t xml:space="preserve">“On time” means within the time period set out in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282B34" w:rsidRDefault="00282B34" w:rsidP="00886B3B">
            <w:pPr>
              <w:rPr>
                <w:sz w:val="20"/>
              </w:rPr>
            </w:pPr>
            <w:r w:rsidRPr="00282B34">
              <w:rPr>
                <w:sz w:val="20"/>
              </w:rPr>
              <w:t>84.02%</w:t>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15"/>
        </w:trPr>
        <w:tc>
          <w:tcPr>
            <w:tcW w:w="11194" w:type="dxa"/>
            <w:gridSpan w:val="5"/>
            <w:tcBorders>
              <w:right w:val="nil"/>
            </w:tcBorders>
            <w:shd w:val="clear" w:color="auto" w:fill="D9D9D9" w:themeFill="background1" w:themeFillShade="D9"/>
          </w:tcPr>
          <w:p w:rsidR="00886B3B" w:rsidRPr="00886B3B" w:rsidRDefault="00886B3B" w:rsidP="00886B3B">
            <w:pPr>
              <w:tabs>
                <w:tab w:val="left" w:pos="270"/>
              </w:tabs>
              <w:rPr>
                <w:sz w:val="22"/>
                <w:szCs w:val="22"/>
              </w:rPr>
            </w:pPr>
            <w:r w:rsidRPr="00886B3B">
              <w:rPr>
                <w:sz w:val="22"/>
                <w:szCs w:val="22"/>
              </w:rPr>
              <w:t xml:space="preserve">    the contract terms.)</w:t>
            </w:r>
          </w:p>
        </w:tc>
        <w:tc>
          <w:tcPr>
            <w:tcW w:w="1984" w:type="dxa"/>
            <w:tcBorders>
              <w:top w:val="nil"/>
              <w:left w:val="nil"/>
              <w:bottom w:val="single" w:sz="4" w:space="0" w:color="auto"/>
              <w:right w:val="nil"/>
            </w:tcBorders>
            <w:shd w:val="clear" w:color="auto" w:fill="D9D9D9" w:themeFill="background1" w:themeFillShade="D9"/>
            <w:noWrap/>
          </w:tcPr>
          <w:p w:rsidR="00886B3B" w:rsidRPr="00A32127" w:rsidRDefault="00886B3B" w:rsidP="00886B3B">
            <w:pPr>
              <w:rPr>
                <w:color w:val="FF0000"/>
                <w:sz w:val="20"/>
              </w:rPr>
            </w:pPr>
          </w:p>
        </w:tc>
        <w:tc>
          <w:tcPr>
            <w:tcW w:w="278" w:type="dxa"/>
            <w:tcBorders>
              <w:left w:val="nil"/>
            </w:tcBorders>
            <w:shd w:val="clear" w:color="auto" w:fill="D9D9D9" w:themeFill="background1" w:themeFillShade="D9"/>
            <w:noWrap/>
          </w:tcPr>
          <w:p w:rsidR="00886B3B" w:rsidRPr="00886B3B" w:rsidRDefault="00886B3B" w:rsidP="00886B3B">
            <w:pPr>
              <w:rPr>
                <w:sz w:val="22"/>
                <w:szCs w:val="22"/>
              </w:rPr>
            </w:pPr>
          </w:p>
        </w:tc>
      </w:tr>
      <w:tr w:rsidR="00886B3B" w:rsidRPr="00886B3B" w:rsidTr="00B122D6">
        <w:trPr>
          <w:trHeight w:val="315"/>
        </w:trPr>
        <w:tc>
          <w:tcPr>
            <w:tcW w:w="11194" w:type="dxa"/>
            <w:gridSpan w:val="5"/>
            <w:tcBorders>
              <w:right w:val="single" w:sz="4" w:space="0" w:color="auto"/>
            </w:tcBorders>
            <w:shd w:val="clear" w:color="auto" w:fill="D9D9D9" w:themeFill="background1" w:themeFillShade="D9"/>
            <w:hideMark/>
          </w:tcPr>
          <w:p w:rsidR="00886B3B" w:rsidRPr="00886B3B" w:rsidRDefault="00886B3B" w:rsidP="00886B3B">
            <w:pPr>
              <w:rPr>
                <w:sz w:val="22"/>
                <w:szCs w:val="22"/>
              </w:rPr>
            </w:pPr>
            <w:r w:rsidRPr="00886B3B">
              <w:rPr>
                <w:sz w:val="22"/>
                <w:szCs w:val="22"/>
              </w:rPr>
              <w:t xml:space="preserve">c) Number of regulated contracts awarded during the period containing a contract term requiring the prompt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B122D6" w:rsidRDefault="00886B3B" w:rsidP="00886B3B">
            <w:pPr>
              <w:rPr>
                <w:sz w:val="20"/>
              </w:rPr>
            </w:pPr>
            <w:r w:rsidRPr="00B122D6">
              <w:rPr>
                <w:sz w:val="20"/>
              </w:rPr>
              <w:t>Not recorded</w:t>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15"/>
        </w:trPr>
        <w:tc>
          <w:tcPr>
            <w:tcW w:w="11194" w:type="dxa"/>
            <w:gridSpan w:val="5"/>
            <w:shd w:val="clear" w:color="auto" w:fill="D9D9D9" w:themeFill="background1" w:themeFillShade="D9"/>
          </w:tcPr>
          <w:p w:rsidR="00886B3B" w:rsidRPr="00886B3B" w:rsidRDefault="00886B3B" w:rsidP="00886B3B">
            <w:pPr>
              <w:rPr>
                <w:sz w:val="22"/>
                <w:szCs w:val="22"/>
              </w:rPr>
            </w:pPr>
            <w:r w:rsidRPr="00886B3B">
              <w:rPr>
                <w:sz w:val="22"/>
                <w:szCs w:val="22"/>
              </w:rPr>
              <w:t xml:space="preserve">    payment of invoices in public contract supply chains.</w:t>
            </w:r>
          </w:p>
        </w:tc>
        <w:tc>
          <w:tcPr>
            <w:tcW w:w="1984" w:type="dxa"/>
            <w:tcBorders>
              <w:top w:val="single" w:sz="4" w:space="0" w:color="auto"/>
              <w:bottom w:val="single" w:sz="4" w:space="0" w:color="auto"/>
            </w:tcBorders>
            <w:shd w:val="clear" w:color="auto" w:fill="D9D9D9" w:themeFill="background1" w:themeFillShade="D9"/>
            <w:noWrap/>
          </w:tcPr>
          <w:p w:rsidR="00886B3B" w:rsidRPr="00B122D6" w:rsidRDefault="00886B3B" w:rsidP="00886B3B">
            <w:pPr>
              <w:rPr>
                <w:sz w:val="22"/>
                <w:szCs w:val="22"/>
              </w:rPr>
            </w:pPr>
          </w:p>
        </w:tc>
        <w:tc>
          <w:tcPr>
            <w:tcW w:w="278" w:type="dxa"/>
            <w:shd w:val="clear" w:color="auto" w:fill="D9D9D9" w:themeFill="background1" w:themeFillShade="D9"/>
            <w:noWrap/>
          </w:tcPr>
          <w:p w:rsidR="00886B3B" w:rsidRPr="00886B3B" w:rsidRDefault="00886B3B" w:rsidP="00886B3B">
            <w:pPr>
              <w:rPr>
                <w:sz w:val="22"/>
                <w:szCs w:val="22"/>
              </w:rPr>
            </w:pPr>
          </w:p>
        </w:tc>
      </w:tr>
      <w:tr w:rsidR="00886B3B" w:rsidRPr="00886B3B" w:rsidTr="00B122D6">
        <w:trPr>
          <w:trHeight w:val="315"/>
        </w:trPr>
        <w:tc>
          <w:tcPr>
            <w:tcW w:w="11194" w:type="dxa"/>
            <w:gridSpan w:val="5"/>
            <w:tcBorders>
              <w:right w:val="single" w:sz="4" w:space="0" w:color="auto"/>
            </w:tcBorders>
            <w:shd w:val="clear" w:color="auto" w:fill="D9D9D9" w:themeFill="background1" w:themeFillShade="D9"/>
            <w:hideMark/>
          </w:tcPr>
          <w:p w:rsidR="00886B3B" w:rsidRPr="00886B3B" w:rsidRDefault="00886B3B" w:rsidP="00886B3B">
            <w:pPr>
              <w:rPr>
                <w:sz w:val="22"/>
                <w:szCs w:val="22"/>
              </w:rPr>
            </w:pPr>
            <w:r w:rsidRPr="00886B3B">
              <w:rPr>
                <w:sz w:val="22"/>
                <w:szCs w:val="22"/>
              </w:rPr>
              <w:t xml:space="preserve">d) Number of concerns raised by sub-contractors about the timely payment of invoices within the supply chain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B122D6" w:rsidRDefault="00886B3B" w:rsidP="00886B3B">
            <w:pPr>
              <w:rPr>
                <w:sz w:val="20"/>
              </w:rPr>
            </w:pPr>
            <w:r w:rsidRPr="00B122D6">
              <w:rPr>
                <w:sz w:val="20"/>
              </w:rPr>
              <w:t>None</w:t>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15"/>
        </w:trPr>
        <w:tc>
          <w:tcPr>
            <w:tcW w:w="11194" w:type="dxa"/>
            <w:gridSpan w:val="5"/>
            <w:shd w:val="clear" w:color="auto" w:fill="D9D9D9" w:themeFill="background1" w:themeFillShade="D9"/>
          </w:tcPr>
          <w:p w:rsidR="00886B3B" w:rsidRPr="00886B3B" w:rsidRDefault="00886B3B" w:rsidP="00886B3B">
            <w:pPr>
              <w:rPr>
                <w:sz w:val="22"/>
                <w:szCs w:val="22"/>
              </w:rPr>
            </w:pPr>
            <w:r w:rsidRPr="00886B3B">
              <w:rPr>
                <w:sz w:val="22"/>
                <w:szCs w:val="22"/>
              </w:rPr>
              <w:t xml:space="preserve">    of public contracts.</w:t>
            </w:r>
          </w:p>
        </w:tc>
        <w:tc>
          <w:tcPr>
            <w:tcW w:w="1984" w:type="dxa"/>
            <w:tcBorders>
              <w:top w:val="single" w:sz="4" w:space="0" w:color="auto"/>
              <w:bottom w:val="nil"/>
            </w:tcBorders>
            <w:shd w:val="clear" w:color="auto" w:fill="D9D9D9" w:themeFill="background1" w:themeFillShade="D9"/>
            <w:noWrap/>
          </w:tcPr>
          <w:p w:rsidR="00886B3B" w:rsidRPr="00A32127" w:rsidRDefault="00886B3B" w:rsidP="00886B3B">
            <w:pPr>
              <w:rPr>
                <w:color w:val="FF0000"/>
                <w:sz w:val="22"/>
                <w:szCs w:val="22"/>
              </w:rPr>
            </w:pPr>
          </w:p>
        </w:tc>
        <w:tc>
          <w:tcPr>
            <w:tcW w:w="278" w:type="dxa"/>
            <w:tcBorders>
              <w:bottom w:val="nil"/>
            </w:tcBorders>
            <w:shd w:val="clear" w:color="auto" w:fill="D9D9D9" w:themeFill="background1" w:themeFillShade="D9"/>
            <w:noWrap/>
          </w:tcPr>
          <w:p w:rsidR="00886B3B" w:rsidRPr="00886B3B" w:rsidRDefault="00886B3B" w:rsidP="00886B3B">
            <w:pPr>
              <w:rPr>
                <w:sz w:val="22"/>
                <w:szCs w:val="22"/>
              </w:rPr>
            </w:pPr>
          </w:p>
        </w:tc>
      </w:tr>
      <w:tr w:rsidR="00886B3B" w:rsidRPr="00886B3B" w:rsidTr="00B122D6">
        <w:trPr>
          <w:trHeight w:val="150"/>
        </w:trPr>
        <w:tc>
          <w:tcPr>
            <w:tcW w:w="6931" w:type="dxa"/>
            <w:shd w:val="clear" w:color="auto" w:fill="D9D9D9" w:themeFill="background1" w:themeFillShade="D9"/>
            <w:hideMark/>
          </w:tcPr>
          <w:p w:rsidR="00886B3B" w:rsidRPr="00886B3B" w:rsidRDefault="00886B3B" w:rsidP="00886B3B">
            <w:pPr>
              <w:rPr>
                <w:sz w:val="22"/>
                <w:szCs w:val="22"/>
              </w:rPr>
            </w:pPr>
            <w:r w:rsidRPr="00886B3B">
              <w:rPr>
                <w:sz w:val="22"/>
                <w:szCs w:val="22"/>
              </w:rPr>
              <w:t> </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940"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19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854"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1984" w:type="dxa"/>
            <w:tcBorders>
              <w:top w:val="nil"/>
              <w:bottom w:val="nil"/>
            </w:tcBorders>
            <w:shd w:val="clear" w:color="auto" w:fill="D9D9D9" w:themeFill="background1" w:themeFillShade="D9"/>
            <w:noWrap/>
            <w:hideMark/>
          </w:tcPr>
          <w:p w:rsidR="00886B3B" w:rsidRPr="00886B3B" w:rsidRDefault="00886B3B" w:rsidP="00886B3B">
            <w:pPr>
              <w:rPr>
                <w:sz w:val="22"/>
                <w:szCs w:val="22"/>
              </w:rPr>
            </w:pPr>
          </w:p>
        </w:tc>
        <w:tc>
          <w:tcPr>
            <w:tcW w:w="278" w:type="dxa"/>
            <w:tcBorders>
              <w:top w:val="nil"/>
              <w:bottom w:val="nil"/>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273"/>
        </w:trPr>
        <w:tc>
          <w:tcPr>
            <w:tcW w:w="6931" w:type="dxa"/>
            <w:shd w:val="clear" w:color="auto" w:fill="D9D9D9" w:themeFill="background1" w:themeFillShade="D9"/>
          </w:tcPr>
          <w:p w:rsidR="00886B3B" w:rsidRPr="00886B3B" w:rsidRDefault="00886B3B" w:rsidP="00886B3B">
            <w:pPr>
              <w:rPr>
                <w:b/>
                <w:bCs/>
                <w:sz w:val="22"/>
                <w:szCs w:val="22"/>
                <w:u w:val="single"/>
              </w:rPr>
            </w:pPr>
          </w:p>
        </w:tc>
        <w:tc>
          <w:tcPr>
            <w:tcW w:w="278" w:type="dxa"/>
            <w:tcBorders>
              <w:top w:val="nil"/>
            </w:tcBorders>
            <w:shd w:val="clear" w:color="auto" w:fill="D9D9D9" w:themeFill="background1" w:themeFillShade="D9"/>
            <w:noWrap/>
          </w:tcPr>
          <w:p w:rsidR="00886B3B" w:rsidRPr="00886B3B" w:rsidRDefault="00886B3B" w:rsidP="00886B3B">
            <w:pPr>
              <w:rPr>
                <w:sz w:val="22"/>
                <w:szCs w:val="22"/>
              </w:rPr>
            </w:pPr>
          </w:p>
        </w:tc>
        <w:tc>
          <w:tcPr>
            <w:tcW w:w="940" w:type="dxa"/>
            <w:tcBorders>
              <w:top w:val="nil"/>
            </w:tcBorders>
            <w:shd w:val="clear" w:color="auto" w:fill="D9D9D9" w:themeFill="background1" w:themeFillShade="D9"/>
            <w:noWrap/>
          </w:tcPr>
          <w:p w:rsidR="00886B3B" w:rsidRPr="00886B3B" w:rsidRDefault="00886B3B" w:rsidP="00886B3B">
            <w:pPr>
              <w:rPr>
                <w:sz w:val="22"/>
                <w:szCs w:val="22"/>
              </w:rPr>
            </w:pPr>
          </w:p>
        </w:tc>
        <w:tc>
          <w:tcPr>
            <w:tcW w:w="2191" w:type="dxa"/>
            <w:tcBorders>
              <w:top w:val="nil"/>
            </w:tcBorders>
            <w:shd w:val="clear" w:color="auto" w:fill="D9D9D9" w:themeFill="background1" w:themeFillShade="D9"/>
            <w:noWrap/>
          </w:tcPr>
          <w:p w:rsidR="00886B3B" w:rsidRPr="00886B3B" w:rsidRDefault="00886B3B" w:rsidP="00886B3B">
            <w:pPr>
              <w:rPr>
                <w:sz w:val="22"/>
                <w:szCs w:val="22"/>
              </w:rPr>
            </w:pPr>
          </w:p>
        </w:tc>
        <w:tc>
          <w:tcPr>
            <w:tcW w:w="854" w:type="dxa"/>
            <w:tcBorders>
              <w:top w:val="nil"/>
            </w:tcBorders>
            <w:shd w:val="clear" w:color="auto" w:fill="D9D9D9" w:themeFill="background1" w:themeFillShade="D9"/>
            <w:noWrap/>
          </w:tcPr>
          <w:p w:rsidR="00886B3B" w:rsidRPr="00886B3B" w:rsidRDefault="00886B3B" w:rsidP="00886B3B">
            <w:pPr>
              <w:rPr>
                <w:sz w:val="22"/>
                <w:szCs w:val="22"/>
              </w:rPr>
            </w:pPr>
          </w:p>
        </w:tc>
        <w:tc>
          <w:tcPr>
            <w:tcW w:w="1984" w:type="dxa"/>
            <w:tcBorders>
              <w:top w:val="nil"/>
              <w:bottom w:val="nil"/>
            </w:tcBorders>
            <w:shd w:val="clear" w:color="auto" w:fill="D9D9D9" w:themeFill="background1" w:themeFillShade="D9"/>
            <w:noWrap/>
          </w:tcPr>
          <w:p w:rsidR="00886B3B" w:rsidRPr="00886B3B" w:rsidRDefault="00886B3B" w:rsidP="00886B3B">
            <w:pPr>
              <w:rPr>
                <w:sz w:val="22"/>
                <w:szCs w:val="22"/>
              </w:rPr>
            </w:pPr>
          </w:p>
        </w:tc>
        <w:tc>
          <w:tcPr>
            <w:tcW w:w="278" w:type="dxa"/>
            <w:tcBorders>
              <w:top w:val="nil"/>
              <w:bottom w:val="nil"/>
              <w:right w:val="single" w:sz="4" w:space="0" w:color="auto"/>
            </w:tcBorders>
            <w:shd w:val="clear" w:color="auto" w:fill="D9D9D9" w:themeFill="background1" w:themeFillShade="D9"/>
            <w:noWrap/>
          </w:tcPr>
          <w:p w:rsidR="00886B3B" w:rsidRPr="00886B3B" w:rsidRDefault="00886B3B" w:rsidP="00886B3B">
            <w:pPr>
              <w:rPr>
                <w:sz w:val="22"/>
                <w:szCs w:val="22"/>
              </w:rPr>
            </w:pPr>
          </w:p>
        </w:tc>
      </w:tr>
      <w:tr w:rsidR="00886B3B" w:rsidRPr="00886B3B" w:rsidTr="00B122D6">
        <w:trPr>
          <w:trHeight w:val="360"/>
        </w:trPr>
        <w:tc>
          <w:tcPr>
            <w:tcW w:w="6931" w:type="dxa"/>
            <w:shd w:val="clear" w:color="auto" w:fill="D9D9D9" w:themeFill="background1" w:themeFillShade="D9"/>
            <w:hideMark/>
          </w:tcPr>
          <w:p w:rsidR="00886B3B" w:rsidRPr="00886B3B" w:rsidRDefault="00886B3B" w:rsidP="00886B3B">
            <w:pPr>
              <w:rPr>
                <w:b/>
                <w:bCs/>
                <w:sz w:val="22"/>
                <w:szCs w:val="22"/>
                <w:u w:val="single"/>
              </w:rPr>
            </w:pPr>
            <w:r w:rsidRPr="00886B3B">
              <w:rPr>
                <w:b/>
                <w:bCs/>
                <w:sz w:val="22"/>
                <w:szCs w:val="22"/>
                <w:u w:val="single"/>
              </w:rPr>
              <w:t>7. Supported Businesses Summary</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940"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19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854"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1984" w:type="dxa"/>
            <w:tcBorders>
              <w:top w:val="nil"/>
              <w:bottom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78" w:type="dxa"/>
            <w:tcBorders>
              <w:top w:val="nil"/>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45"/>
        </w:trPr>
        <w:tc>
          <w:tcPr>
            <w:tcW w:w="10340" w:type="dxa"/>
            <w:gridSpan w:val="4"/>
            <w:shd w:val="clear" w:color="auto" w:fill="D9D9D9" w:themeFill="background1" w:themeFillShade="D9"/>
            <w:hideMark/>
          </w:tcPr>
          <w:p w:rsidR="00886B3B" w:rsidRPr="00886B3B" w:rsidRDefault="00886B3B" w:rsidP="00886B3B">
            <w:pPr>
              <w:rPr>
                <w:sz w:val="22"/>
                <w:szCs w:val="22"/>
              </w:rPr>
            </w:pPr>
            <w:r w:rsidRPr="00886B3B">
              <w:rPr>
                <w:sz w:val="22"/>
                <w:szCs w:val="22"/>
              </w:rPr>
              <w:t>a) Total number of regulated contracts awarded to supported businesses during the period</w:t>
            </w:r>
          </w:p>
        </w:tc>
        <w:tc>
          <w:tcPr>
            <w:tcW w:w="854" w:type="dxa"/>
            <w:tcBorders>
              <w:right w:val="single" w:sz="4" w:space="0" w:color="auto"/>
            </w:tcBorders>
            <w:shd w:val="clear" w:color="auto" w:fill="D9D9D9" w:themeFill="background1" w:themeFillShade="D9"/>
            <w:hideMark/>
          </w:tcPr>
          <w:p w:rsidR="00886B3B" w:rsidRPr="00B122D6" w:rsidRDefault="00886B3B" w:rsidP="00886B3B">
            <w:pPr>
              <w:rPr>
                <w:sz w:val="22"/>
                <w:szCs w:val="22"/>
              </w:rPr>
            </w:pPr>
            <w:r w:rsidRPr="00B122D6">
              <w:rPr>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B122D6" w:rsidRDefault="00B122D6" w:rsidP="00886B3B">
            <w:pPr>
              <w:rPr>
                <w:sz w:val="20"/>
              </w:rPr>
            </w:pPr>
            <w:r w:rsidRPr="00B122D6">
              <w:rPr>
                <w:sz w:val="20"/>
              </w:rPr>
              <w:t>0</w:t>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30"/>
        </w:trPr>
        <w:tc>
          <w:tcPr>
            <w:tcW w:w="11194" w:type="dxa"/>
            <w:gridSpan w:val="5"/>
            <w:tcBorders>
              <w:right w:val="single" w:sz="4" w:space="0" w:color="auto"/>
            </w:tcBorders>
            <w:shd w:val="clear" w:color="auto" w:fill="D9D9D9" w:themeFill="background1" w:themeFillShade="D9"/>
            <w:hideMark/>
          </w:tcPr>
          <w:p w:rsidR="00886B3B" w:rsidRPr="00886B3B" w:rsidRDefault="00886B3B" w:rsidP="00886B3B">
            <w:pPr>
              <w:rPr>
                <w:sz w:val="22"/>
                <w:szCs w:val="22"/>
              </w:rPr>
            </w:pPr>
            <w:r w:rsidRPr="00886B3B">
              <w:rPr>
                <w:sz w:val="22"/>
                <w:szCs w:val="22"/>
              </w:rPr>
              <w:t>b) Total spend with supported businesses during the period covered by the report, including:</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A32127" w:rsidRDefault="00B122D6" w:rsidP="00886B3B">
            <w:pPr>
              <w:rPr>
                <w:color w:val="FF0000"/>
                <w:sz w:val="20"/>
              </w:rPr>
            </w:pPr>
            <w:r w:rsidRPr="00B122D6">
              <w:rPr>
                <w:sz w:val="20"/>
              </w:rPr>
              <w:t>£547</w:t>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693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xml:space="preserve">    i)  spend within the reporting year on regulated contracts </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940"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19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854" w:type="dxa"/>
            <w:tcBorders>
              <w:righ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B122D6" w:rsidRDefault="00886B3B" w:rsidP="00886B3B">
            <w:pPr>
              <w:rPr>
                <w:sz w:val="20"/>
              </w:rPr>
            </w:pPr>
            <w:r w:rsidRPr="00B122D6">
              <w:rPr>
                <w:sz w:val="20"/>
              </w:rPr>
              <w:t>Not recorded</w:t>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10340" w:type="dxa"/>
            <w:gridSpan w:val="4"/>
            <w:shd w:val="clear" w:color="auto" w:fill="D9D9D9" w:themeFill="background1" w:themeFillShade="D9"/>
            <w:noWrap/>
            <w:hideMark/>
          </w:tcPr>
          <w:p w:rsidR="00886B3B" w:rsidRPr="00886B3B" w:rsidRDefault="00886B3B" w:rsidP="00886B3B">
            <w:pPr>
              <w:rPr>
                <w:sz w:val="22"/>
                <w:szCs w:val="22"/>
              </w:rPr>
            </w:pPr>
            <w:r w:rsidRPr="00886B3B">
              <w:rPr>
                <w:sz w:val="22"/>
                <w:szCs w:val="22"/>
              </w:rPr>
              <w:t xml:space="preserve">    ii) spend within the reporting year on non-regulated contracts </w:t>
            </w:r>
          </w:p>
        </w:tc>
        <w:tc>
          <w:tcPr>
            <w:tcW w:w="854" w:type="dxa"/>
            <w:tcBorders>
              <w:righ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B122D6" w:rsidRDefault="00886B3B" w:rsidP="00886B3B">
            <w:pPr>
              <w:rPr>
                <w:sz w:val="20"/>
              </w:rPr>
            </w:pPr>
            <w:r w:rsidRPr="00B122D6">
              <w:rPr>
                <w:sz w:val="20"/>
              </w:rPr>
              <w:t>Not recorded</w:t>
            </w:r>
          </w:p>
        </w:tc>
        <w:tc>
          <w:tcPr>
            <w:tcW w:w="278" w:type="dxa"/>
            <w:tcBorders>
              <w:left w:val="single" w:sz="4" w:space="0" w:color="auto"/>
              <w:bottom w:val="nil"/>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225"/>
        </w:trPr>
        <w:tc>
          <w:tcPr>
            <w:tcW w:w="6931" w:type="dxa"/>
            <w:shd w:val="clear" w:color="auto" w:fill="D9D9D9" w:themeFill="background1" w:themeFillShade="D9"/>
            <w:noWrap/>
            <w:hideMark/>
          </w:tcPr>
          <w:p w:rsidR="00886B3B" w:rsidRPr="00886B3B" w:rsidRDefault="00886B3B" w:rsidP="00886B3B">
            <w:pPr>
              <w:rPr>
                <w:sz w:val="22"/>
                <w:szCs w:val="22"/>
              </w:rPr>
            </w:pP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940"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19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854"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1984" w:type="dxa"/>
            <w:tcBorders>
              <w:top w:val="nil"/>
              <w:bottom w:val="nil"/>
            </w:tcBorders>
            <w:shd w:val="clear" w:color="auto" w:fill="D9D9D9" w:themeFill="background1" w:themeFillShade="D9"/>
            <w:noWrap/>
            <w:hideMark/>
          </w:tcPr>
          <w:p w:rsidR="00886B3B" w:rsidRPr="00A32127" w:rsidRDefault="00886B3B" w:rsidP="00886B3B">
            <w:pPr>
              <w:rPr>
                <w:color w:val="FF0000"/>
                <w:sz w:val="22"/>
                <w:szCs w:val="22"/>
              </w:rPr>
            </w:pPr>
            <w:r w:rsidRPr="00A32127">
              <w:rPr>
                <w:color w:val="FF0000"/>
                <w:sz w:val="22"/>
                <w:szCs w:val="22"/>
              </w:rPr>
              <w:t> </w:t>
            </w:r>
          </w:p>
        </w:tc>
        <w:tc>
          <w:tcPr>
            <w:tcW w:w="278" w:type="dxa"/>
            <w:tcBorders>
              <w:top w:val="nil"/>
              <w:bottom w:val="nil"/>
              <w:righ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238"/>
        </w:trPr>
        <w:tc>
          <w:tcPr>
            <w:tcW w:w="6931" w:type="dxa"/>
            <w:shd w:val="clear" w:color="auto" w:fill="D9D9D9" w:themeFill="background1" w:themeFillShade="D9"/>
            <w:noWrap/>
            <w:hideMark/>
          </w:tcPr>
          <w:p w:rsidR="00886B3B" w:rsidRPr="00886B3B" w:rsidRDefault="00886B3B" w:rsidP="00886B3B">
            <w:pPr>
              <w:rPr>
                <w:b/>
                <w:bCs/>
                <w:sz w:val="22"/>
                <w:szCs w:val="22"/>
                <w:u w:val="single"/>
              </w:rPr>
            </w:pPr>
            <w:r w:rsidRPr="00886B3B">
              <w:rPr>
                <w:b/>
                <w:bCs/>
                <w:sz w:val="22"/>
                <w:szCs w:val="22"/>
                <w:u w:val="single"/>
              </w:rPr>
              <w:t>8. Spend and Savings Summary</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940" w:type="dxa"/>
            <w:tcBorders>
              <w:top w:val="nil"/>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191" w:type="dxa"/>
            <w:tcBorders>
              <w:top w:val="nil"/>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854" w:type="dxa"/>
            <w:tcBorders>
              <w:top w:val="nil"/>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1984" w:type="dxa"/>
            <w:tcBorders>
              <w:top w:val="nil"/>
              <w:bottom w:val="single" w:sz="4" w:space="0" w:color="auto"/>
            </w:tcBorders>
            <w:shd w:val="clear" w:color="auto" w:fill="D9D9D9" w:themeFill="background1" w:themeFillShade="D9"/>
            <w:noWrap/>
            <w:hideMark/>
          </w:tcPr>
          <w:p w:rsidR="00886B3B" w:rsidRPr="00A32127" w:rsidRDefault="00886B3B" w:rsidP="00886B3B">
            <w:pPr>
              <w:rPr>
                <w:color w:val="FF0000"/>
                <w:sz w:val="22"/>
                <w:szCs w:val="22"/>
              </w:rPr>
            </w:pPr>
            <w:r w:rsidRPr="00A32127">
              <w:rPr>
                <w:color w:val="FF0000"/>
                <w:sz w:val="22"/>
                <w:szCs w:val="22"/>
              </w:rPr>
              <w:t> </w:t>
            </w:r>
          </w:p>
        </w:tc>
        <w:tc>
          <w:tcPr>
            <w:tcW w:w="278" w:type="dxa"/>
            <w:tcBorders>
              <w:top w:val="nil"/>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11194" w:type="dxa"/>
            <w:gridSpan w:val="5"/>
            <w:tcBorders>
              <w:righ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a) Total procurement spend for the period covered by the annual procurement report.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A32127" w:rsidRDefault="00C4484E" w:rsidP="00886B3B">
            <w:pPr>
              <w:rPr>
                <w:color w:val="FF0000"/>
                <w:sz w:val="20"/>
              </w:rPr>
            </w:pPr>
            <w:r w:rsidRPr="004B3480">
              <w:rPr>
                <w:sz w:val="20"/>
              </w:rPr>
              <w:t>£125</w:t>
            </w:r>
            <w:r w:rsidR="004B3480" w:rsidRPr="004B3480">
              <w:rPr>
                <w:sz w:val="20"/>
              </w:rPr>
              <w:t>,</w:t>
            </w:r>
            <w:r w:rsidRPr="004B3480">
              <w:rPr>
                <w:sz w:val="20"/>
              </w:rPr>
              <w:t>522</w:t>
            </w:r>
            <w:r w:rsidR="004B3480" w:rsidRPr="004B3480">
              <w:rPr>
                <w:sz w:val="20"/>
              </w:rPr>
              <w:t>,</w:t>
            </w:r>
            <w:r w:rsidRPr="004B3480">
              <w:rPr>
                <w:sz w:val="20"/>
              </w:rPr>
              <w:t>922</w:t>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11194" w:type="dxa"/>
            <w:gridSpan w:val="5"/>
            <w:tcBorders>
              <w:righ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b) Total procurement spend with SMEs during the period covered by the annual procurement report.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B122D6" w:rsidRDefault="00B122D6" w:rsidP="00886B3B">
            <w:pPr>
              <w:rPr>
                <w:sz w:val="20"/>
              </w:rPr>
            </w:pPr>
            <w:r w:rsidRPr="00B122D6">
              <w:rPr>
                <w:sz w:val="20"/>
              </w:rPr>
              <w:t>£64,593,055</w:t>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11194" w:type="dxa"/>
            <w:gridSpan w:val="5"/>
            <w:tcBorders>
              <w:righ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c) Total procurement spend with Third sector bodies during the period covered by the report.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B122D6" w:rsidRDefault="00886B3B" w:rsidP="00886B3B">
            <w:pPr>
              <w:rPr>
                <w:sz w:val="20"/>
              </w:rPr>
            </w:pPr>
            <w:r w:rsidRPr="00B122D6">
              <w:rPr>
                <w:sz w:val="20"/>
              </w:rPr>
              <w:t>Not recorded</w:t>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10340" w:type="dxa"/>
            <w:gridSpan w:val="4"/>
            <w:shd w:val="clear" w:color="auto" w:fill="D9D9D9" w:themeFill="background1" w:themeFillShade="D9"/>
            <w:noWrap/>
            <w:hideMark/>
          </w:tcPr>
          <w:p w:rsidR="00886B3B" w:rsidRPr="00886B3B" w:rsidRDefault="00886B3B" w:rsidP="00886B3B">
            <w:pPr>
              <w:rPr>
                <w:sz w:val="22"/>
                <w:szCs w:val="22"/>
              </w:rPr>
            </w:pPr>
            <w:r w:rsidRPr="00886B3B">
              <w:rPr>
                <w:sz w:val="22"/>
                <w:szCs w:val="22"/>
              </w:rPr>
              <w:t>d) Percentage of total procurement spend through collaborative contracts.</w:t>
            </w:r>
          </w:p>
        </w:tc>
        <w:tc>
          <w:tcPr>
            <w:tcW w:w="854" w:type="dxa"/>
            <w:tcBorders>
              <w:righ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A32127" w:rsidRDefault="00C4484E" w:rsidP="00C4484E">
            <w:pPr>
              <w:rPr>
                <w:color w:val="FF0000"/>
                <w:sz w:val="20"/>
              </w:rPr>
            </w:pPr>
            <w:r>
              <w:rPr>
                <w:color w:val="FF0000"/>
                <w:sz w:val="20"/>
              </w:rPr>
              <w:t xml:space="preserve"> </w:t>
            </w:r>
            <w:r w:rsidRPr="004B3480">
              <w:rPr>
                <w:sz w:val="20"/>
              </w:rPr>
              <w:t>52.88%</w:t>
            </w:r>
            <w:r w:rsidR="00886B3B" w:rsidRPr="00A32127">
              <w:rPr>
                <w:color w:val="FF0000"/>
                <w:sz w:val="20"/>
              </w:rPr>
              <w:fldChar w:fldCharType="begin"/>
            </w:r>
            <w:r w:rsidR="00886B3B" w:rsidRPr="00A32127">
              <w:rPr>
                <w:color w:val="FF0000"/>
                <w:sz w:val="20"/>
              </w:rPr>
              <w:instrText>MERGEFIELD Name</w:instrText>
            </w:r>
            <w:r w:rsidR="00886B3B" w:rsidRPr="00A32127">
              <w:rPr>
                <w:color w:val="FF0000"/>
                <w:sz w:val="20"/>
              </w:rPr>
              <w:fldChar w:fldCharType="end"/>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693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lastRenderedPageBreak/>
              <w:t> </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940"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19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854"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1984" w:type="dxa"/>
            <w:tcBorders>
              <w:top w:val="single" w:sz="4" w:space="0" w:color="auto"/>
              <w:bottom w:val="single" w:sz="4" w:space="0" w:color="auto"/>
            </w:tcBorders>
            <w:shd w:val="clear" w:color="auto" w:fill="D9D9D9" w:themeFill="background1" w:themeFillShade="D9"/>
            <w:noWrap/>
            <w:hideMark/>
          </w:tcPr>
          <w:p w:rsidR="00886B3B" w:rsidRPr="00A32127" w:rsidRDefault="00886B3B" w:rsidP="00886B3B">
            <w:pPr>
              <w:rPr>
                <w:color w:val="FF0000"/>
                <w:sz w:val="22"/>
                <w:szCs w:val="22"/>
              </w:rPr>
            </w:pPr>
            <w:r w:rsidRPr="00A32127">
              <w:rPr>
                <w:color w:val="FF0000"/>
                <w:sz w:val="22"/>
                <w:szCs w:val="22"/>
              </w:rPr>
              <w:t> </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10340" w:type="dxa"/>
            <w:gridSpan w:val="4"/>
            <w:shd w:val="clear" w:color="auto" w:fill="D9D9D9" w:themeFill="background1" w:themeFillShade="D9"/>
            <w:noWrap/>
            <w:hideMark/>
          </w:tcPr>
          <w:p w:rsidR="00886B3B" w:rsidRPr="00886B3B" w:rsidRDefault="00886B3B" w:rsidP="00886B3B">
            <w:pPr>
              <w:rPr>
                <w:sz w:val="22"/>
                <w:szCs w:val="22"/>
              </w:rPr>
            </w:pPr>
            <w:r w:rsidRPr="00886B3B">
              <w:rPr>
                <w:sz w:val="22"/>
                <w:szCs w:val="22"/>
              </w:rPr>
              <w:t>e) Total targeted cash savings for the period covered by the annual procurement report</w:t>
            </w:r>
          </w:p>
        </w:tc>
        <w:tc>
          <w:tcPr>
            <w:tcW w:w="854" w:type="dxa"/>
            <w:tcBorders>
              <w:righ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A32127" w:rsidRDefault="00B122D6" w:rsidP="004B3480">
            <w:pPr>
              <w:rPr>
                <w:color w:val="FF0000"/>
                <w:sz w:val="20"/>
              </w:rPr>
            </w:pPr>
            <w:r w:rsidRPr="00B122D6">
              <w:rPr>
                <w:sz w:val="20"/>
              </w:rPr>
              <w:t>£1</w:t>
            </w:r>
            <w:r w:rsidR="004B3480">
              <w:rPr>
                <w:sz w:val="20"/>
              </w:rPr>
              <w:t>.</w:t>
            </w:r>
            <w:r w:rsidRPr="00B122D6">
              <w:rPr>
                <w:sz w:val="20"/>
              </w:rPr>
              <w:t>741</w:t>
            </w:r>
            <w:r w:rsidR="00886B3B" w:rsidRPr="00B122D6">
              <w:rPr>
                <w:sz w:val="20"/>
              </w:rPr>
              <w:t xml:space="preserve">M </w:t>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693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xml:space="preserve">    i)    targeted cash savings for Cat A contracts</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940"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19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854" w:type="dxa"/>
            <w:tcBorders>
              <w:righ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BC49A4" w:rsidRDefault="00BC49A4" w:rsidP="00886B3B">
            <w:pPr>
              <w:rPr>
                <w:sz w:val="20"/>
              </w:rPr>
            </w:pPr>
            <w:r w:rsidRPr="00BC49A4">
              <w:rPr>
                <w:sz w:val="20"/>
              </w:rPr>
              <w:t>£0.166</w:t>
            </w:r>
            <w:r w:rsidR="00886B3B" w:rsidRPr="00BC49A4">
              <w:rPr>
                <w:sz w:val="20"/>
              </w:rPr>
              <w:t xml:space="preserve">M </w:t>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693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xml:space="preserve">    ii)   targeted cash savings for Cat B contracts</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940"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19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854" w:type="dxa"/>
            <w:tcBorders>
              <w:righ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BC49A4" w:rsidRDefault="00BC49A4" w:rsidP="00886B3B">
            <w:pPr>
              <w:rPr>
                <w:sz w:val="20"/>
              </w:rPr>
            </w:pPr>
            <w:r w:rsidRPr="00BC49A4">
              <w:rPr>
                <w:sz w:val="20"/>
              </w:rPr>
              <w:t>£0.062</w:t>
            </w:r>
            <w:r w:rsidR="00886B3B" w:rsidRPr="00BC49A4">
              <w:rPr>
                <w:sz w:val="20"/>
              </w:rPr>
              <w:t xml:space="preserve">M </w:t>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693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xml:space="preserve">    iii)  targeted cash savings for Cat C contracts</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940"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19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854" w:type="dxa"/>
            <w:tcBorders>
              <w:righ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BC49A4" w:rsidRDefault="00BC49A4" w:rsidP="004B3480">
            <w:pPr>
              <w:rPr>
                <w:sz w:val="20"/>
              </w:rPr>
            </w:pPr>
            <w:r w:rsidRPr="00BC49A4">
              <w:rPr>
                <w:sz w:val="20"/>
              </w:rPr>
              <w:t>£1</w:t>
            </w:r>
            <w:r w:rsidR="004B3480">
              <w:rPr>
                <w:sz w:val="20"/>
              </w:rPr>
              <w:t>.</w:t>
            </w:r>
            <w:r w:rsidRPr="00BC49A4">
              <w:rPr>
                <w:sz w:val="20"/>
              </w:rPr>
              <w:t>479</w:t>
            </w:r>
            <w:r w:rsidR="00886B3B" w:rsidRPr="00BC49A4">
              <w:rPr>
                <w:sz w:val="20"/>
              </w:rPr>
              <w:t>M</w:t>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693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940"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19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854"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1984" w:type="dxa"/>
            <w:tcBorders>
              <w:top w:val="single" w:sz="4" w:space="0" w:color="auto"/>
              <w:bottom w:val="single" w:sz="4" w:space="0" w:color="auto"/>
            </w:tcBorders>
            <w:shd w:val="clear" w:color="auto" w:fill="D9D9D9" w:themeFill="background1" w:themeFillShade="D9"/>
            <w:noWrap/>
            <w:hideMark/>
          </w:tcPr>
          <w:p w:rsidR="00886B3B" w:rsidRPr="00A32127" w:rsidRDefault="00886B3B" w:rsidP="00886B3B">
            <w:pPr>
              <w:rPr>
                <w:color w:val="FF0000"/>
                <w:sz w:val="22"/>
                <w:szCs w:val="22"/>
              </w:rPr>
            </w:pPr>
            <w:r w:rsidRPr="00A32127">
              <w:rPr>
                <w:color w:val="FF0000"/>
                <w:sz w:val="22"/>
                <w:szCs w:val="22"/>
              </w:rPr>
              <w:t> </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11194" w:type="dxa"/>
            <w:gridSpan w:val="5"/>
            <w:tcBorders>
              <w:right w:val="single" w:sz="4" w:space="0" w:color="auto"/>
            </w:tcBorders>
            <w:shd w:val="clear" w:color="auto" w:fill="D9D9D9" w:themeFill="background1" w:themeFillShade="D9"/>
            <w:hideMark/>
          </w:tcPr>
          <w:p w:rsidR="00886B3B" w:rsidRPr="00886B3B" w:rsidRDefault="00886B3B" w:rsidP="00886B3B">
            <w:pPr>
              <w:rPr>
                <w:sz w:val="22"/>
                <w:szCs w:val="22"/>
              </w:rPr>
            </w:pPr>
            <w:r w:rsidRPr="00886B3B">
              <w:rPr>
                <w:sz w:val="22"/>
                <w:szCs w:val="22"/>
              </w:rPr>
              <w:t>f) Total delivered cash savings for the period covered by the annual procurement report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B122D6" w:rsidRDefault="00886B3B" w:rsidP="00886B3B">
            <w:pPr>
              <w:rPr>
                <w:noProof/>
                <w:sz w:val="20"/>
              </w:rPr>
            </w:pPr>
            <w:r w:rsidRPr="00B122D6">
              <w:rPr>
                <w:sz w:val="20"/>
              </w:rPr>
              <w:fldChar w:fldCharType="begin"/>
            </w:r>
            <w:r w:rsidRPr="00B122D6">
              <w:rPr>
                <w:sz w:val="20"/>
              </w:rPr>
              <w:instrText>MERGEFIELD Name</w:instrText>
            </w:r>
            <w:r w:rsidRPr="00B122D6">
              <w:rPr>
                <w:sz w:val="20"/>
              </w:rPr>
              <w:fldChar w:fldCharType="separate"/>
            </w:r>
            <w:r w:rsidRPr="00B122D6">
              <w:rPr>
                <w:noProof/>
                <w:sz w:val="20"/>
              </w:rPr>
              <w:t>Not recorded</w:t>
            </w:r>
            <w:r w:rsidRPr="00B122D6">
              <w:rPr>
                <w:sz w:val="20"/>
              </w:rPr>
              <w:fldChar w:fldCharType="end"/>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693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xml:space="preserve">    i)   delivered cash savings for Cat A contracts</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940"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19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854" w:type="dxa"/>
            <w:tcBorders>
              <w:righ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B122D6" w:rsidRDefault="00886B3B" w:rsidP="00886B3B">
            <w:pPr>
              <w:rPr>
                <w:sz w:val="20"/>
              </w:rPr>
            </w:pPr>
            <w:r w:rsidRPr="00B122D6">
              <w:rPr>
                <w:sz w:val="20"/>
              </w:rPr>
              <w:t>Not recorded</w:t>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693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xml:space="preserve">    ii)  delivered cash savings for Cat B contracts</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940"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19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854" w:type="dxa"/>
            <w:tcBorders>
              <w:righ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B122D6" w:rsidRDefault="00886B3B" w:rsidP="00886B3B">
            <w:pPr>
              <w:rPr>
                <w:sz w:val="20"/>
              </w:rPr>
            </w:pPr>
            <w:r w:rsidRPr="00B122D6">
              <w:rPr>
                <w:sz w:val="20"/>
              </w:rPr>
              <w:t>Not recorded</w:t>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693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xml:space="preserve">    iii) delivered cash savings for Cat C contracts</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940"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19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854" w:type="dxa"/>
            <w:tcBorders>
              <w:righ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B122D6" w:rsidRDefault="00886B3B" w:rsidP="00886B3B">
            <w:pPr>
              <w:rPr>
                <w:sz w:val="20"/>
              </w:rPr>
            </w:pPr>
            <w:r w:rsidRPr="00B122D6">
              <w:rPr>
                <w:sz w:val="20"/>
              </w:rPr>
              <w:t>Not recorded</w:t>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693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940"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19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854"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1984" w:type="dxa"/>
            <w:tcBorders>
              <w:top w:val="single" w:sz="4" w:space="0" w:color="auto"/>
              <w:bottom w:val="single" w:sz="4" w:space="0" w:color="auto"/>
            </w:tcBorders>
            <w:shd w:val="clear" w:color="auto" w:fill="D9D9D9" w:themeFill="background1" w:themeFillShade="D9"/>
            <w:noWrap/>
            <w:hideMark/>
          </w:tcPr>
          <w:p w:rsidR="00886B3B" w:rsidRPr="00B122D6" w:rsidRDefault="00886B3B" w:rsidP="00886B3B">
            <w:pPr>
              <w:rPr>
                <w:sz w:val="22"/>
                <w:szCs w:val="22"/>
              </w:rPr>
            </w:pPr>
            <w:r w:rsidRPr="00B122D6">
              <w:rPr>
                <w:sz w:val="22"/>
                <w:szCs w:val="22"/>
              </w:rPr>
              <w:t> </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11194" w:type="dxa"/>
            <w:gridSpan w:val="5"/>
            <w:tcBorders>
              <w:righ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g) Total non-cash savings value for the period covered by the annual procurement report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B122D6" w:rsidRDefault="00886B3B" w:rsidP="00886B3B">
            <w:pPr>
              <w:rPr>
                <w:sz w:val="20"/>
              </w:rPr>
            </w:pPr>
            <w:r w:rsidRPr="00B122D6">
              <w:rPr>
                <w:sz w:val="20"/>
              </w:rPr>
              <w:t>Not recorded</w:t>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693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940"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19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854"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1984" w:type="dxa"/>
            <w:tcBorders>
              <w:top w:val="single" w:sz="4" w:space="0" w:color="auto"/>
            </w:tcBorders>
            <w:shd w:val="clear" w:color="auto" w:fill="D9D9D9" w:themeFill="background1" w:themeFillShade="D9"/>
            <w:noWrap/>
            <w:hideMark/>
          </w:tcPr>
          <w:p w:rsidR="00886B3B" w:rsidRPr="00A32127" w:rsidRDefault="00886B3B" w:rsidP="00886B3B">
            <w:pPr>
              <w:rPr>
                <w:color w:val="FF0000"/>
                <w:sz w:val="22"/>
                <w:szCs w:val="22"/>
              </w:rPr>
            </w:pPr>
            <w:r w:rsidRPr="00A32127">
              <w:rPr>
                <w:color w:val="FF0000"/>
                <w:sz w:val="22"/>
                <w:szCs w:val="22"/>
              </w:rPr>
              <w:t> </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435"/>
        </w:trPr>
        <w:tc>
          <w:tcPr>
            <w:tcW w:w="6931" w:type="dxa"/>
            <w:shd w:val="clear" w:color="auto" w:fill="D9D9D9" w:themeFill="background1" w:themeFillShade="D9"/>
            <w:noWrap/>
            <w:hideMark/>
          </w:tcPr>
          <w:p w:rsidR="00886B3B" w:rsidRPr="00886B3B" w:rsidRDefault="00886B3B" w:rsidP="00886B3B">
            <w:pPr>
              <w:rPr>
                <w:b/>
                <w:bCs/>
                <w:sz w:val="22"/>
                <w:szCs w:val="22"/>
                <w:u w:val="single"/>
              </w:rPr>
            </w:pPr>
            <w:r w:rsidRPr="00886B3B">
              <w:rPr>
                <w:b/>
                <w:bCs/>
                <w:sz w:val="22"/>
                <w:szCs w:val="22"/>
                <w:u w:val="single"/>
              </w:rPr>
              <w:t>9. Future regulated procurements</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940"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2191"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854"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c>
          <w:tcPr>
            <w:tcW w:w="1984" w:type="dxa"/>
            <w:tcBorders>
              <w:bottom w:val="single" w:sz="4" w:space="0" w:color="auto"/>
            </w:tcBorders>
            <w:shd w:val="clear" w:color="auto" w:fill="D9D9D9" w:themeFill="background1" w:themeFillShade="D9"/>
            <w:noWrap/>
            <w:hideMark/>
          </w:tcPr>
          <w:p w:rsidR="00886B3B" w:rsidRPr="00A32127" w:rsidRDefault="00886B3B" w:rsidP="00886B3B">
            <w:pPr>
              <w:rPr>
                <w:color w:val="FF0000"/>
                <w:sz w:val="22"/>
                <w:szCs w:val="22"/>
              </w:rPr>
            </w:pPr>
            <w:r w:rsidRPr="00A32127">
              <w:rPr>
                <w:color w:val="FF0000"/>
                <w:sz w:val="22"/>
                <w:szCs w:val="22"/>
              </w:rPr>
              <w:t> </w:t>
            </w:r>
          </w:p>
        </w:tc>
        <w:tc>
          <w:tcPr>
            <w:tcW w:w="278" w:type="dxa"/>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11194" w:type="dxa"/>
            <w:gridSpan w:val="5"/>
            <w:tcBorders>
              <w:right w:val="single" w:sz="4" w:space="0" w:color="auto"/>
            </w:tcBorders>
            <w:shd w:val="clear" w:color="auto" w:fill="D9D9D9" w:themeFill="background1" w:themeFillShade="D9"/>
            <w:noWrap/>
            <w:hideMark/>
          </w:tcPr>
          <w:p w:rsidR="00886B3B" w:rsidRPr="00282B34" w:rsidRDefault="00886B3B" w:rsidP="00886B3B">
            <w:pPr>
              <w:rPr>
                <w:sz w:val="22"/>
                <w:szCs w:val="22"/>
              </w:rPr>
            </w:pPr>
            <w:r w:rsidRPr="00282B34">
              <w:rPr>
                <w:sz w:val="22"/>
                <w:szCs w:val="22"/>
              </w:rPr>
              <w:t xml:space="preserve">a) Total number of regulated procurements expected to commence in the next two financial years </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282B34" w:rsidRDefault="00282B34" w:rsidP="00886B3B">
            <w:pPr>
              <w:rPr>
                <w:sz w:val="20"/>
              </w:rPr>
            </w:pPr>
            <w:r w:rsidRPr="00282B34">
              <w:rPr>
                <w:sz w:val="20"/>
              </w:rPr>
              <w:t>233</w:t>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300"/>
        </w:trPr>
        <w:tc>
          <w:tcPr>
            <w:tcW w:w="11194" w:type="dxa"/>
            <w:gridSpan w:val="5"/>
            <w:tcBorders>
              <w:right w:val="single" w:sz="4" w:space="0" w:color="auto"/>
            </w:tcBorders>
            <w:shd w:val="clear" w:color="auto" w:fill="D9D9D9" w:themeFill="background1" w:themeFillShade="D9"/>
            <w:noWrap/>
            <w:hideMark/>
          </w:tcPr>
          <w:p w:rsidR="00886B3B" w:rsidRPr="00282B34" w:rsidRDefault="00886B3B" w:rsidP="00886B3B">
            <w:pPr>
              <w:rPr>
                <w:sz w:val="22"/>
                <w:szCs w:val="22"/>
              </w:rPr>
            </w:pPr>
            <w:r w:rsidRPr="00282B34">
              <w:rPr>
                <w:sz w:val="22"/>
                <w:szCs w:val="22"/>
              </w:rPr>
              <w:t>b) Total estimated value of regulated procurements expected to commence in the next two financial years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886B3B" w:rsidRPr="00282B34" w:rsidRDefault="00282B34" w:rsidP="00282B34">
            <w:pPr>
              <w:rPr>
                <w:sz w:val="20"/>
              </w:rPr>
            </w:pPr>
            <w:r w:rsidRPr="00282B34">
              <w:rPr>
                <w:sz w:val="20"/>
              </w:rPr>
              <w:t>£138,898,868</w:t>
            </w:r>
          </w:p>
        </w:tc>
        <w:tc>
          <w:tcPr>
            <w:tcW w:w="278" w:type="dxa"/>
            <w:tcBorders>
              <w:left w:val="single" w:sz="4" w:space="0" w:color="auto"/>
            </w:tcBorders>
            <w:shd w:val="clear" w:color="auto" w:fill="D9D9D9" w:themeFill="background1" w:themeFillShade="D9"/>
            <w:noWrap/>
            <w:hideMark/>
          </w:tcPr>
          <w:p w:rsidR="00886B3B" w:rsidRPr="00886B3B" w:rsidRDefault="00886B3B" w:rsidP="00886B3B">
            <w:pPr>
              <w:rPr>
                <w:sz w:val="22"/>
                <w:szCs w:val="22"/>
              </w:rPr>
            </w:pPr>
            <w:r w:rsidRPr="00886B3B">
              <w:rPr>
                <w:sz w:val="22"/>
                <w:szCs w:val="22"/>
              </w:rPr>
              <w:t> </w:t>
            </w:r>
          </w:p>
        </w:tc>
      </w:tr>
      <w:tr w:rsidR="00886B3B" w:rsidRPr="00886B3B" w:rsidTr="00B122D6">
        <w:trPr>
          <w:trHeight w:val="209"/>
        </w:trPr>
        <w:tc>
          <w:tcPr>
            <w:tcW w:w="11194" w:type="dxa"/>
            <w:gridSpan w:val="5"/>
            <w:shd w:val="clear" w:color="auto" w:fill="D9D9D9" w:themeFill="background1" w:themeFillShade="D9"/>
            <w:noWrap/>
          </w:tcPr>
          <w:p w:rsidR="00886B3B" w:rsidRPr="00886B3B" w:rsidRDefault="00886B3B" w:rsidP="00886B3B">
            <w:pPr>
              <w:rPr>
                <w:sz w:val="22"/>
                <w:szCs w:val="22"/>
              </w:rPr>
            </w:pPr>
          </w:p>
        </w:tc>
        <w:tc>
          <w:tcPr>
            <w:tcW w:w="1984" w:type="dxa"/>
            <w:tcBorders>
              <w:top w:val="single" w:sz="4" w:space="0" w:color="auto"/>
            </w:tcBorders>
            <w:shd w:val="clear" w:color="auto" w:fill="D9D9D9" w:themeFill="background1" w:themeFillShade="D9"/>
            <w:noWrap/>
          </w:tcPr>
          <w:p w:rsidR="00886B3B" w:rsidRPr="00A32127" w:rsidRDefault="00886B3B" w:rsidP="00886B3B">
            <w:pPr>
              <w:rPr>
                <w:color w:val="FF0000"/>
                <w:sz w:val="22"/>
                <w:szCs w:val="22"/>
              </w:rPr>
            </w:pPr>
          </w:p>
        </w:tc>
        <w:tc>
          <w:tcPr>
            <w:tcW w:w="278" w:type="dxa"/>
            <w:shd w:val="clear" w:color="auto" w:fill="D9D9D9" w:themeFill="background1" w:themeFillShade="D9"/>
            <w:noWrap/>
          </w:tcPr>
          <w:p w:rsidR="00886B3B" w:rsidRPr="00886B3B" w:rsidRDefault="00886B3B" w:rsidP="00886B3B">
            <w:pPr>
              <w:rPr>
                <w:sz w:val="22"/>
                <w:szCs w:val="22"/>
              </w:rPr>
            </w:pPr>
          </w:p>
        </w:tc>
      </w:tr>
    </w:tbl>
    <w:p w:rsidR="00937CA9" w:rsidRPr="00AA5ED1" w:rsidRDefault="00937CA9" w:rsidP="00162F66">
      <w:pPr>
        <w:rPr>
          <w:rFonts w:ascii="Arial" w:hAnsi="Arial"/>
        </w:rPr>
      </w:pPr>
    </w:p>
    <w:sectPr w:rsidR="00937CA9" w:rsidRPr="00AA5ED1" w:rsidSect="00D160D4">
      <w:pgSz w:w="16838" w:h="11906" w:orient="landscape"/>
      <w:pgMar w:top="993" w:right="1440" w:bottom="99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017" w:rsidRDefault="00534017" w:rsidP="00F64954">
      <w:pPr>
        <w:spacing w:line="240" w:lineRule="auto"/>
      </w:pPr>
      <w:r>
        <w:separator/>
      </w:r>
    </w:p>
  </w:endnote>
  <w:endnote w:type="continuationSeparator" w:id="0">
    <w:p w:rsidR="00534017" w:rsidRDefault="00534017" w:rsidP="00F649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950202"/>
      <w:docPartObj>
        <w:docPartGallery w:val="Page Numbers (Bottom of Page)"/>
        <w:docPartUnique/>
      </w:docPartObj>
    </w:sdtPr>
    <w:sdtEndPr>
      <w:rPr>
        <w:noProof/>
      </w:rPr>
    </w:sdtEndPr>
    <w:sdtContent>
      <w:p w:rsidR="0063703D" w:rsidRDefault="0063703D">
        <w:pPr>
          <w:pStyle w:val="Footer"/>
          <w:jc w:val="center"/>
        </w:pPr>
        <w:r>
          <w:fldChar w:fldCharType="begin"/>
        </w:r>
        <w:r>
          <w:instrText xml:space="preserve"> PAGE   \* MERGEFORMAT </w:instrText>
        </w:r>
        <w:r>
          <w:fldChar w:fldCharType="separate"/>
        </w:r>
        <w:r w:rsidR="007E725B">
          <w:rPr>
            <w:noProof/>
          </w:rPr>
          <w:t>20</w:t>
        </w:r>
        <w:r>
          <w:rPr>
            <w:noProof/>
          </w:rPr>
          <w:fldChar w:fldCharType="end"/>
        </w:r>
      </w:p>
    </w:sdtContent>
  </w:sdt>
  <w:p w:rsidR="0063703D" w:rsidRDefault="00637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017" w:rsidRDefault="00534017" w:rsidP="00F64954">
      <w:pPr>
        <w:spacing w:line="240" w:lineRule="auto"/>
      </w:pPr>
      <w:r>
        <w:separator/>
      </w:r>
    </w:p>
  </w:footnote>
  <w:footnote w:type="continuationSeparator" w:id="0">
    <w:p w:rsidR="00534017" w:rsidRDefault="00534017" w:rsidP="00F64954">
      <w:pPr>
        <w:spacing w:line="240" w:lineRule="auto"/>
      </w:pPr>
      <w:r>
        <w:continuationSeparator/>
      </w:r>
    </w:p>
  </w:footnote>
  <w:footnote w:id="1">
    <w:p w:rsidR="0063703D" w:rsidRDefault="0063703D">
      <w:pPr>
        <w:pStyle w:val="FootnoteText"/>
      </w:pPr>
      <w:r>
        <w:rPr>
          <w:rStyle w:val="FootnoteReference"/>
        </w:rPr>
        <w:footnoteRef/>
      </w:r>
      <w:r>
        <w:t xml:space="preserve"> Tenders over £50,000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03D" w:rsidRDefault="0063703D">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03D" w:rsidRPr="00962491" w:rsidRDefault="0063703D" w:rsidP="00962491">
    <w:pPr>
      <w:pStyle w:val="Header"/>
      <w:jc w:val="right"/>
      <w:rPr>
        <w:rFonts w:ascii="Arial" w:hAnsi="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69F5"/>
    <w:multiLevelType w:val="hybridMultilevel"/>
    <w:tmpl w:val="70725C4A"/>
    <w:lvl w:ilvl="0" w:tplc="AD0048C8">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A27CC"/>
    <w:multiLevelType w:val="hybridMultilevel"/>
    <w:tmpl w:val="E034E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D671E"/>
    <w:multiLevelType w:val="hybridMultilevel"/>
    <w:tmpl w:val="7EA29D30"/>
    <w:lvl w:ilvl="0" w:tplc="357C4D1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C57971"/>
    <w:multiLevelType w:val="hybridMultilevel"/>
    <w:tmpl w:val="ED6A7B78"/>
    <w:lvl w:ilvl="0" w:tplc="9D0EC99E">
      <w:start w:val="1"/>
      <w:numFmt w:val="lowerLetter"/>
      <w:lvlText w:val="%1."/>
      <w:lvlJc w:val="left"/>
      <w:pPr>
        <w:ind w:left="720" w:hanging="360"/>
      </w:pPr>
      <w:rPr>
        <w:rFont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041BCD"/>
    <w:multiLevelType w:val="hybridMultilevel"/>
    <w:tmpl w:val="DB4EEE92"/>
    <w:lvl w:ilvl="0" w:tplc="08090019">
      <w:start w:val="3"/>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4C2ADB"/>
    <w:multiLevelType w:val="hybridMultilevel"/>
    <w:tmpl w:val="A5D20F5A"/>
    <w:lvl w:ilvl="0" w:tplc="DB14115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F95D8F"/>
    <w:multiLevelType w:val="hybridMultilevel"/>
    <w:tmpl w:val="2F680FA8"/>
    <w:lvl w:ilvl="0" w:tplc="20BC18C2">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636FCB"/>
    <w:multiLevelType w:val="hybridMultilevel"/>
    <w:tmpl w:val="1DACD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0"/>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6BB"/>
    <w:rsid w:val="000210C2"/>
    <w:rsid w:val="00021158"/>
    <w:rsid w:val="0002401A"/>
    <w:rsid w:val="00025A89"/>
    <w:rsid w:val="000303EA"/>
    <w:rsid w:val="00030F77"/>
    <w:rsid w:val="00041BC6"/>
    <w:rsid w:val="00056045"/>
    <w:rsid w:val="00075416"/>
    <w:rsid w:val="00075D2C"/>
    <w:rsid w:val="00087EDA"/>
    <w:rsid w:val="00091C41"/>
    <w:rsid w:val="000A0C68"/>
    <w:rsid w:val="000B2EE4"/>
    <w:rsid w:val="000D4484"/>
    <w:rsid w:val="000D7852"/>
    <w:rsid w:val="000F03C8"/>
    <w:rsid w:val="000F1711"/>
    <w:rsid w:val="000F4588"/>
    <w:rsid w:val="000F458B"/>
    <w:rsid w:val="00101804"/>
    <w:rsid w:val="00106CD2"/>
    <w:rsid w:val="00125959"/>
    <w:rsid w:val="0012710B"/>
    <w:rsid w:val="0013600E"/>
    <w:rsid w:val="00152864"/>
    <w:rsid w:val="00157B77"/>
    <w:rsid w:val="001608DA"/>
    <w:rsid w:val="00162F66"/>
    <w:rsid w:val="00163ED4"/>
    <w:rsid w:val="00181FB7"/>
    <w:rsid w:val="00182024"/>
    <w:rsid w:val="00187C87"/>
    <w:rsid w:val="00187D37"/>
    <w:rsid w:val="001971E2"/>
    <w:rsid w:val="00197A99"/>
    <w:rsid w:val="001A24BD"/>
    <w:rsid w:val="001B64F2"/>
    <w:rsid w:val="001C08AB"/>
    <w:rsid w:val="001C303E"/>
    <w:rsid w:val="001C4CD3"/>
    <w:rsid w:val="001C69E8"/>
    <w:rsid w:val="001C6FCA"/>
    <w:rsid w:val="001C7DD8"/>
    <w:rsid w:val="001D2156"/>
    <w:rsid w:val="001D47C2"/>
    <w:rsid w:val="001E6DF4"/>
    <w:rsid w:val="001E79A6"/>
    <w:rsid w:val="001F2286"/>
    <w:rsid w:val="001F646F"/>
    <w:rsid w:val="00213304"/>
    <w:rsid w:val="002144B2"/>
    <w:rsid w:val="002149E5"/>
    <w:rsid w:val="00215D8C"/>
    <w:rsid w:val="00215FC1"/>
    <w:rsid w:val="00217B76"/>
    <w:rsid w:val="0023148B"/>
    <w:rsid w:val="00231B50"/>
    <w:rsid w:val="00233673"/>
    <w:rsid w:val="00241FB2"/>
    <w:rsid w:val="0024331C"/>
    <w:rsid w:val="0024591C"/>
    <w:rsid w:val="0024688A"/>
    <w:rsid w:val="002741B8"/>
    <w:rsid w:val="00282B34"/>
    <w:rsid w:val="0028542C"/>
    <w:rsid w:val="00287C19"/>
    <w:rsid w:val="00296F4F"/>
    <w:rsid w:val="002A4359"/>
    <w:rsid w:val="002A518B"/>
    <w:rsid w:val="002B140B"/>
    <w:rsid w:val="002B445F"/>
    <w:rsid w:val="002B5294"/>
    <w:rsid w:val="002B7CBB"/>
    <w:rsid w:val="002D24E7"/>
    <w:rsid w:val="002E2748"/>
    <w:rsid w:val="002E3C33"/>
    <w:rsid w:val="002E4A6A"/>
    <w:rsid w:val="002F5142"/>
    <w:rsid w:val="002F5387"/>
    <w:rsid w:val="002F7315"/>
    <w:rsid w:val="00306118"/>
    <w:rsid w:val="003249C9"/>
    <w:rsid w:val="0033511E"/>
    <w:rsid w:val="003369FB"/>
    <w:rsid w:val="00353FA3"/>
    <w:rsid w:val="00354735"/>
    <w:rsid w:val="00357AD5"/>
    <w:rsid w:val="003722F2"/>
    <w:rsid w:val="00377569"/>
    <w:rsid w:val="00383130"/>
    <w:rsid w:val="00391CD5"/>
    <w:rsid w:val="00391FD9"/>
    <w:rsid w:val="003A5FDF"/>
    <w:rsid w:val="003B5393"/>
    <w:rsid w:val="003D30B1"/>
    <w:rsid w:val="003E18F2"/>
    <w:rsid w:val="003E60F7"/>
    <w:rsid w:val="003F5FF1"/>
    <w:rsid w:val="003F7637"/>
    <w:rsid w:val="00405E4D"/>
    <w:rsid w:val="00410C90"/>
    <w:rsid w:val="00412894"/>
    <w:rsid w:val="0042108B"/>
    <w:rsid w:val="00422706"/>
    <w:rsid w:val="00435D78"/>
    <w:rsid w:val="00453975"/>
    <w:rsid w:val="00460533"/>
    <w:rsid w:val="00475383"/>
    <w:rsid w:val="00476142"/>
    <w:rsid w:val="00484E8B"/>
    <w:rsid w:val="00485B1D"/>
    <w:rsid w:val="00490AA7"/>
    <w:rsid w:val="00492842"/>
    <w:rsid w:val="00496082"/>
    <w:rsid w:val="004A360D"/>
    <w:rsid w:val="004B3480"/>
    <w:rsid w:val="004B572A"/>
    <w:rsid w:val="004C5AAC"/>
    <w:rsid w:val="004C5B4D"/>
    <w:rsid w:val="004C75F1"/>
    <w:rsid w:val="004E3132"/>
    <w:rsid w:val="004E5668"/>
    <w:rsid w:val="004E6044"/>
    <w:rsid w:val="004F6285"/>
    <w:rsid w:val="005027DA"/>
    <w:rsid w:val="00505B9F"/>
    <w:rsid w:val="0050616D"/>
    <w:rsid w:val="00506B41"/>
    <w:rsid w:val="0052379E"/>
    <w:rsid w:val="005270A5"/>
    <w:rsid w:val="00534017"/>
    <w:rsid w:val="00547C20"/>
    <w:rsid w:val="00551408"/>
    <w:rsid w:val="00561386"/>
    <w:rsid w:val="0056449B"/>
    <w:rsid w:val="00565249"/>
    <w:rsid w:val="0057004D"/>
    <w:rsid w:val="0057092A"/>
    <w:rsid w:val="00587132"/>
    <w:rsid w:val="005953E6"/>
    <w:rsid w:val="00595AC3"/>
    <w:rsid w:val="005A03B4"/>
    <w:rsid w:val="005B1FDF"/>
    <w:rsid w:val="005B242D"/>
    <w:rsid w:val="005B4B84"/>
    <w:rsid w:val="005C098B"/>
    <w:rsid w:val="005D04E5"/>
    <w:rsid w:val="005D2F16"/>
    <w:rsid w:val="005D3ADF"/>
    <w:rsid w:val="005D49C8"/>
    <w:rsid w:val="005E552C"/>
    <w:rsid w:val="005F3ADB"/>
    <w:rsid w:val="005F5340"/>
    <w:rsid w:val="005F6253"/>
    <w:rsid w:val="00602882"/>
    <w:rsid w:val="00606606"/>
    <w:rsid w:val="00606A26"/>
    <w:rsid w:val="006102E9"/>
    <w:rsid w:val="00617EE7"/>
    <w:rsid w:val="00624763"/>
    <w:rsid w:val="0063005D"/>
    <w:rsid w:val="00630175"/>
    <w:rsid w:val="0063703D"/>
    <w:rsid w:val="00642720"/>
    <w:rsid w:val="006449F3"/>
    <w:rsid w:val="0066638B"/>
    <w:rsid w:val="00666785"/>
    <w:rsid w:val="0067029D"/>
    <w:rsid w:val="006950AA"/>
    <w:rsid w:val="00696CC2"/>
    <w:rsid w:val="00696F61"/>
    <w:rsid w:val="006974E5"/>
    <w:rsid w:val="006A1ED6"/>
    <w:rsid w:val="006B2778"/>
    <w:rsid w:val="006B3503"/>
    <w:rsid w:val="006C78CD"/>
    <w:rsid w:val="006D0C6F"/>
    <w:rsid w:val="006D34AA"/>
    <w:rsid w:val="006D35DA"/>
    <w:rsid w:val="006E47A9"/>
    <w:rsid w:val="006E67C4"/>
    <w:rsid w:val="006F6025"/>
    <w:rsid w:val="007002D2"/>
    <w:rsid w:val="00702CA1"/>
    <w:rsid w:val="007031EB"/>
    <w:rsid w:val="0071206E"/>
    <w:rsid w:val="00716A90"/>
    <w:rsid w:val="007242CE"/>
    <w:rsid w:val="00726878"/>
    <w:rsid w:val="00734728"/>
    <w:rsid w:val="00742489"/>
    <w:rsid w:val="00764150"/>
    <w:rsid w:val="00774AD3"/>
    <w:rsid w:val="00784FB7"/>
    <w:rsid w:val="00786438"/>
    <w:rsid w:val="00793D5B"/>
    <w:rsid w:val="00794341"/>
    <w:rsid w:val="007960EC"/>
    <w:rsid w:val="00796BF6"/>
    <w:rsid w:val="007A1330"/>
    <w:rsid w:val="007A2B0C"/>
    <w:rsid w:val="007A4F8B"/>
    <w:rsid w:val="007A6E26"/>
    <w:rsid w:val="007B3C46"/>
    <w:rsid w:val="007B68B9"/>
    <w:rsid w:val="007C3BC9"/>
    <w:rsid w:val="007C4E21"/>
    <w:rsid w:val="007C79BF"/>
    <w:rsid w:val="007C7EE3"/>
    <w:rsid w:val="007D320D"/>
    <w:rsid w:val="007D6D41"/>
    <w:rsid w:val="007D77A3"/>
    <w:rsid w:val="007E725B"/>
    <w:rsid w:val="007E7503"/>
    <w:rsid w:val="008026E6"/>
    <w:rsid w:val="00807B2E"/>
    <w:rsid w:val="008204E8"/>
    <w:rsid w:val="008215C8"/>
    <w:rsid w:val="0082362C"/>
    <w:rsid w:val="00841D7D"/>
    <w:rsid w:val="0084610C"/>
    <w:rsid w:val="00846B55"/>
    <w:rsid w:val="0086451A"/>
    <w:rsid w:val="00865558"/>
    <w:rsid w:val="00874CB4"/>
    <w:rsid w:val="0088345E"/>
    <w:rsid w:val="00886B3B"/>
    <w:rsid w:val="00891315"/>
    <w:rsid w:val="008A30EE"/>
    <w:rsid w:val="008A4601"/>
    <w:rsid w:val="008A4BE8"/>
    <w:rsid w:val="008A6CB3"/>
    <w:rsid w:val="008B15E4"/>
    <w:rsid w:val="008B2D8C"/>
    <w:rsid w:val="008B4413"/>
    <w:rsid w:val="008C0258"/>
    <w:rsid w:val="008C3099"/>
    <w:rsid w:val="008D742A"/>
    <w:rsid w:val="008D7C79"/>
    <w:rsid w:val="008E1715"/>
    <w:rsid w:val="008E2B0B"/>
    <w:rsid w:val="008E4A0E"/>
    <w:rsid w:val="008F0074"/>
    <w:rsid w:val="008F3921"/>
    <w:rsid w:val="008F7060"/>
    <w:rsid w:val="00900236"/>
    <w:rsid w:val="00902DDC"/>
    <w:rsid w:val="00902F6F"/>
    <w:rsid w:val="0090368B"/>
    <w:rsid w:val="00904C75"/>
    <w:rsid w:val="00912AA7"/>
    <w:rsid w:val="00924EE6"/>
    <w:rsid w:val="00937CA9"/>
    <w:rsid w:val="00952D8B"/>
    <w:rsid w:val="00962491"/>
    <w:rsid w:val="00966439"/>
    <w:rsid w:val="0097142E"/>
    <w:rsid w:val="00973488"/>
    <w:rsid w:val="009750AE"/>
    <w:rsid w:val="009873FB"/>
    <w:rsid w:val="009A12D3"/>
    <w:rsid w:val="009B0AB7"/>
    <w:rsid w:val="009E16CB"/>
    <w:rsid w:val="009E2244"/>
    <w:rsid w:val="009E5BEC"/>
    <w:rsid w:val="00A03D64"/>
    <w:rsid w:val="00A04D5E"/>
    <w:rsid w:val="00A07638"/>
    <w:rsid w:val="00A11C60"/>
    <w:rsid w:val="00A12103"/>
    <w:rsid w:val="00A14CE8"/>
    <w:rsid w:val="00A17970"/>
    <w:rsid w:val="00A32127"/>
    <w:rsid w:val="00A554FA"/>
    <w:rsid w:val="00A559C8"/>
    <w:rsid w:val="00A56B22"/>
    <w:rsid w:val="00A625B5"/>
    <w:rsid w:val="00A647BE"/>
    <w:rsid w:val="00A676ED"/>
    <w:rsid w:val="00A67DC7"/>
    <w:rsid w:val="00A712EE"/>
    <w:rsid w:val="00A84140"/>
    <w:rsid w:val="00A84150"/>
    <w:rsid w:val="00A84258"/>
    <w:rsid w:val="00A861F0"/>
    <w:rsid w:val="00A87C41"/>
    <w:rsid w:val="00A95152"/>
    <w:rsid w:val="00AA29A3"/>
    <w:rsid w:val="00AA5ED1"/>
    <w:rsid w:val="00AB1980"/>
    <w:rsid w:val="00AC1E33"/>
    <w:rsid w:val="00AE2A3E"/>
    <w:rsid w:val="00AE6543"/>
    <w:rsid w:val="00AF0AA5"/>
    <w:rsid w:val="00B04C14"/>
    <w:rsid w:val="00B051C7"/>
    <w:rsid w:val="00B122D6"/>
    <w:rsid w:val="00B1382A"/>
    <w:rsid w:val="00B15C60"/>
    <w:rsid w:val="00B21720"/>
    <w:rsid w:val="00B302F8"/>
    <w:rsid w:val="00B334AA"/>
    <w:rsid w:val="00B3376A"/>
    <w:rsid w:val="00B40171"/>
    <w:rsid w:val="00B535A0"/>
    <w:rsid w:val="00B66F0A"/>
    <w:rsid w:val="00B703B4"/>
    <w:rsid w:val="00B764DA"/>
    <w:rsid w:val="00B805AF"/>
    <w:rsid w:val="00B810E2"/>
    <w:rsid w:val="00B86C00"/>
    <w:rsid w:val="00B9020C"/>
    <w:rsid w:val="00BA477E"/>
    <w:rsid w:val="00BA7985"/>
    <w:rsid w:val="00BC3B45"/>
    <w:rsid w:val="00BC49A4"/>
    <w:rsid w:val="00BC7CE8"/>
    <w:rsid w:val="00BD2930"/>
    <w:rsid w:val="00BD3D1B"/>
    <w:rsid w:val="00BD5427"/>
    <w:rsid w:val="00BE021D"/>
    <w:rsid w:val="00BE4A13"/>
    <w:rsid w:val="00BF2B95"/>
    <w:rsid w:val="00BF3C11"/>
    <w:rsid w:val="00C101CA"/>
    <w:rsid w:val="00C138E7"/>
    <w:rsid w:val="00C157DF"/>
    <w:rsid w:val="00C21E1A"/>
    <w:rsid w:val="00C23688"/>
    <w:rsid w:val="00C33D94"/>
    <w:rsid w:val="00C37507"/>
    <w:rsid w:val="00C403B6"/>
    <w:rsid w:val="00C41FBF"/>
    <w:rsid w:val="00C4484E"/>
    <w:rsid w:val="00C46A55"/>
    <w:rsid w:val="00C46D31"/>
    <w:rsid w:val="00C46E73"/>
    <w:rsid w:val="00C47C6A"/>
    <w:rsid w:val="00C634E4"/>
    <w:rsid w:val="00C648B7"/>
    <w:rsid w:val="00C83C4C"/>
    <w:rsid w:val="00C9425E"/>
    <w:rsid w:val="00C95F4E"/>
    <w:rsid w:val="00CA3CC8"/>
    <w:rsid w:val="00CB1353"/>
    <w:rsid w:val="00CB6F2A"/>
    <w:rsid w:val="00CC45B9"/>
    <w:rsid w:val="00CC65D9"/>
    <w:rsid w:val="00CD14F2"/>
    <w:rsid w:val="00CD6BE6"/>
    <w:rsid w:val="00CE3B01"/>
    <w:rsid w:val="00CE5E31"/>
    <w:rsid w:val="00CF5BF9"/>
    <w:rsid w:val="00D00224"/>
    <w:rsid w:val="00D06D70"/>
    <w:rsid w:val="00D110F4"/>
    <w:rsid w:val="00D160D4"/>
    <w:rsid w:val="00D23B33"/>
    <w:rsid w:val="00D32A16"/>
    <w:rsid w:val="00D36BD3"/>
    <w:rsid w:val="00D41536"/>
    <w:rsid w:val="00D4655A"/>
    <w:rsid w:val="00D526AB"/>
    <w:rsid w:val="00D66048"/>
    <w:rsid w:val="00D729E2"/>
    <w:rsid w:val="00D77F3A"/>
    <w:rsid w:val="00D85A05"/>
    <w:rsid w:val="00D8719A"/>
    <w:rsid w:val="00D9161E"/>
    <w:rsid w:val="00DA721C"/>
    <w:rsid w:val="00DB0DAE"/>
    <w:rsid w:val="00DB6529"/>
    <w:rsid w:val="00DE2A7E"/>
    <w:rsid w:val="00E04D03"/>
    <w:rsid w:val="00E04E63"/>
    <w:rsid w:val="00E150E7"/>
    <w:rsid w:val="00E173E6"/>
    <w:rsid w:val="00E215C1"/>
    <w:rsid w:val="00E30619"/>
    <w:rsid w:val="00E376EC"/>
    <w:rsid w:val="00E3782C"/>
    <w:rsid w:val="00E46430"/>
    <w:rsid w:val="00E57829"/>
    <w:rsid w:val="00E7270F"/>
    <w:rsid w:val="00E8164E"/>
    <w:rsid w:val="00E838CF"/>
    <w:rsid w:val="00E91BA2"/>
    <w:rsid w:val="00E92906"/>
    <w:rsid w:val="00E95EF6"/>
    <w:rsid w:val="00EA475D"/>
    <w:rsid w:val="00EB09BC"/>
    <w:rsid w:val="00EB1E4C"/>
    <w:rsid w:val="00EB2A84"/>
    <w:rsid w:val="00EC04F4"/>
    <w:rsid w:val="00EC4D39"/>
    <w:rsid w:val="00ED1E70"/>
    <w:rsid w:val="00ED56D4"/>
    <w:rsid w:val="00EE01A5"/>
    <w:rsid w:val="00EF2491"/>
    <w:rsid w:val="00EF5B43"/>
    <w:rsid w:val="00EF7E67"/>
    <w:rsid w:val="00F02B64"/>
    <w:rsid w:val="00F02BF7"/>
    <w:rsid w:val="00F125AB"/>
    <w:rsid w:val="00F22990"/>
    <w:rsid w:val="00F422F9"/>
    <w:rsid w:val="00F51587"/>
    <w:rsid w:val="00F52DD8"/>
    <w:rsid w:val="00F539ED"/>
    <w:rsid w:val="00F55173"/>
    <w:rsid w:val="00F5544E"/>
    <w:rsid w:val="00F564C9"/>
    <w:rsid w:val="00F570C7"/>
    <w:rsid w:val="00F64954"/>
    <w:rsid w:val="00F67105"/>
    <w:rsid w:val="00F67DEE"/>
    <w:rsid w:val="00F72312"/>
    <w:rsid w:val="00F7488E"/>
    <w:rsid w:val="00F74F7B"/>
    <w:rsid w:val="00F81F36"/>
    <w:rsid w:val="00F8552E"/>
    <w:rsid w:val="00F93A86"/>
    <w:rsid w:val="00F947D3"/>
    <w:rsid w:val="00F9792E"/>
    <w:rsid w:val="00FA46BB"/>
    <w:rsid w:val="00FA62A0"/>
    <w:rsid w:val="00FC0889"/>
    <w:rsid w:val="00FC0F5C"/>
    <w:rsid w:val="00FC432D"/>
    <w:rsid w:val="00FC634E"/>
    <w:rsid w:val="00FC6426"/>
    <w:rsid w:val="00FD1145"/>
    <w:rsid w:val="00FD2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50CCD8-0D2C-46B4-A5CD-D2721B4D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Arial"/>
        <w:sz w:val="24"/>
        <w:szCs w:val="24"/>
        <w:lang w:val="en-GB"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6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6BB"/>
    <w:rPr>
      <w:rFonts w:ascii="Tahoma" w:hAnsi="Tahoma" w:cs="Tahoma"/>
      <w:sz w:val="16"/>
      <w:szCs w:val="16"/>
    </w:rPr>
  </w:style>
  <w:style w:type="table" w:styleId="TableGrid">
    <w:name w:val="Table Grid"/>
    <w:basedOn w:val="TableNormal"/>
    <w:uiPriority w:val="59"/>
    <w:rsid w:val="00C2368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1206E"/>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B3503"/>
    <w:pPr>
      <w:spacing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44E"/>
    <w:pPr>
      <w:ind w:left="720"/>
      <w:contextualSpacing/>
    </w:pPr>
  </w:style>
  <w:style w:type="paragraph" w:styleId="Header">
    <w:name w:val="header"/>
    <w:basedOn w:val="Normal"/>
    <w:link w:val="HeaderChar"/>
    <w:uiPriority w:val="99"/>
    <w:unhideWhenUsed/>
    <w:rsid w:val="00F64954"/>
    <w:pPr>
      <w:tabs>
        <w:tab w:val="center" w:pos="4513"/>
        <w:tab w:val="right" w:pos="9026"/>
      </w:tabs>
      <w:spacing w:line="240" w:lineRule="auto"/>
    </w:pPr>
  </w:style>
  <w:style w:type="character" w:customStyle="1" w:styleId="HeaderChar">
    <w:name w:val="Header Char"/>
    <w:basedOn w:val="DefaultParagraphFont"/>
    <w:link w:val="Header"/>
    <w:uiPriority w:val="99"/>
    <w:rsid w:val="00F64954"/>
  </w:style>
  <w:style w:type="paragraph" w:styleId="Footer">
    <w:name w:val="footer"/>
    <w:basedOn w:val="Normal"/>
    <w:link w:val="FooterChar"/>
    <w:uiPriority w:val="99"/>
    <w:unhideWhenUsed/>
    <w:rsid w:val="00F64954"/>
    <w:pPr>
      <w:tabs>
        <w:tab w:val="center" w:pos="4513"/>
        <w:tab w:val="right" w:pos="9026"/>
      </w:tabs>
      <w:spacing w:line="240" w:lineRule="auto"/>
    </w:pPr>
  </w:style>
  <w:style w:type="character" w:customStyle="1" w:styleId="FooterChar">
    <w:name w:val="Footer Char"/>
    <w:basedOn w:val="DefaultParagraphFont"/>
    <w:link w:val="Footer"/>
    <w:uiPriority w:val="99"/>
    <w:rsid w:val="00F64954"/>
  </w:style>
  <w:style w:type="character" w:styleId="Hyperlink">
    <w:name w:val="Hyperlink"/>
    <w:basedOn w:val="DefaultParagraphFont"/>
    <w:uiPriority w:val="99"/>
    <w:unhideWhenUsed/>
    <w:rsid w:val="00A84258"/>
    <w:rPr>
      <w:color w:val="0000FF" w:themeColor="hyperlink"/>
      <w:u w:val="single"/>
    </w:rPr>
  </w:style>
  <w:style w:type="character" w:styleId="FollowedHyperlink">
    <w:name w:val="FollowedHyperlink"/>
    <w:basedOn w:val="DefaultParagraphFont"/>
    <w:uiPriority w:val="99"/>
    <w:semiHidden/>
    <w:unhideWhenUsed/>
    <w:rsid w:val="00C101CA"/>
    <w:rPr>
      <w:color w:val="800080"/>
      <w:u w:val="single"/>
    </w:rPr>
  </w:style>
  <w:style w:type="paragraph" w:customStyle="1" w:styleId="xl119">
    <w:name w:val="xl119"/>
    <w:basedOn w:val="Normal"/>
    <w:rsid w:val="00C10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b/>
      <w:bCs/>
      <w:sz w:val="20"/>
      <w:szCs w:val="20"/>
      <w:lang w:eastAsia="en-GB"/>
    </w:rPr>
  </w:style>
  <w:style w:type="paragraph" w:customStyle="1" w:styleId="xl120">
    <w:name w:val="xl120"/>
    <w:basedOn w:val="Normal"/>
    <w:rsid w:val="00C10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b/>
      <w:bCs/>
      <w:sz w:val="20"/>
      <w:szCs w:val="20"/>
      <w:lang w:eastAsia="en-GB"/>
    </w:rPr>
  </w:style>
  <w:style w:type="paragraph" w:customStyle="1" w:styleId="xl121">
    <w:name w:val="xl121"/>
    <w:basedOn w:val="Normal"/>
    <w:rsid w:val="00C10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b/>
      <w:bCs/>
      <w:sz w:val="20"/>
      <w:szCs w:val="20"/>
      <w:lang w:eastAsia="en-GB"/>
    </w:rPr>
  </w:style>
  <w:style w:type="paragraph" w:customStyle="1" w:styleId="xl122">
    <w:name w:val="xl122"/>
    <w:basedOn w:val="Normal"/>
    <w:rsid w:val="00C10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lang w:eastAsia="en-GB"/>
    </w:rPr>
  </w:style>
  <w:style w:type="paragraph" w:customStyle="1" w:styleId="xl123">
    <w:name w:val="xl123"/>
    <w:basedOn w:val="Normal"/>
    <w:rsid w:val="00C10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lang w:eastAsia="en-GB"/>
    </w:rPr>
  </w:style>
  <w:style w:type="paragraph" w:customStyle="1" w:styleId="xl124">
    <w:name w:val="xl124"/>
    <w:basedOn w:val="Normal"/>
    <w:rsid w:val="00C10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sz w:val="20"/>
      <w:szCs w:val="20"/>
      <w:lang w:eastAsia="en-GB"/>
    </w:rPr>
  </w:style>
  <w:style w:type="paragraph" w:customStyle="1" w:styleId="xl125">
    <w:name w:val="xl125"/>
    <w:basedOn w:val="Normal"/>
    <w:rsid w:val="00C10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sz w:val="20"/>
      <w:szCs w:val="20"/>
      <w:lang w:eastAsia="en-GB"/>
    </w:rPr>
  </w:style>
  <w:style w:type="paragraph" w:customStyle="1" w:styleId="xl126">
    <w:name w:val="xl126"/>
    <w:basedOn w:val="Normal"/>
    <w:rsid w:val="00C10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sz w:val="20"/>
      <w:szCs w:val="20"/>
      <w:lang w:eastAsia="en-GB"/>
    </w:rPr>
  </w:style>
  <w:style w:type="paragraph" w:customStyle="1" w:styleId="xl127">
    <w:name w:val="xl127"/>
    <w:basedOn w:val="Normal"/>
    <w:rsid w:val="00C10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sz w:val="20"/>
      <w:szCs w:val="20"/>
      <w:lang w:eastAsia="en-GB"/>
    </w:rPr>
  </w:style>
  <w:style w:type="paragraph" w:customStyle="1" w:styleId="xl128">
    <w:name w:val="xl128"/>
    <w:basedOn w:val="Normal"/>
    <w:rsid w:val="00C10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sz w:val="20"/>
      <w:szCs w:val="20"/>
      <w:lang w:eastAsia="en-GB"/>
    </w:rPr>
  </w:style>
  <w:style w:type="paragraph" w:customStyle="1" w:styleId="xl129">
    <w:name w:val="xl129"/>
    <w:basedOn w:val="Normal"/>
    <w:rsid w:val="00C10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sz w:val="20"/>
      <w:szCs w:val="20"/>
      <w:lang w:eastAsia="en-GB"/>
    </w:rPr>
  </w:style>
  <w:style w:type="paragraph" w:customStyle="1" w:styleId="xl130">
    <w:name w:val="xl130"/>
    <w:basedOn w:val="Normal"/>
    <w:rsid w:val="00C10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sz w:val="20"/>
      <w:szCs w:val="20"/>
      <w:lang w:eastAsia="en-GB"/>
    </w:rPr>
  </w:style>
  <w:style w:type="paragraph" w:customStyle="1" w:styleId="xl131">
    <w:name w:val="xl131"/>
    <w:basedOn w:val="Normal"/>
    <w:rsid w:val="00C10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sz w:val="20"/>
      <w:szCs w:val="20"/>
      <w:lang w:eastAsia="en-GB"/>
    </w:rPr>
  </w:style>
  <w:style w:type="paragraph" w:customStyle="1" w:styleId="xl132">
    <w:name w:val="xl132"/>
    <w:basedOn w:val="Normal"/>
    <w:rsid w:val="00C10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sz w:val="20"/>
      <w:szCs w:val="20"/>
      <w:lang w:eastAsia="en-GB"/>
    </w:rPr>
  </w:style>
  <w:style w:type="paragraph" w:customStyle="1" w:styleId="xl133">
    <w:name w:val="xl133"/>
    <w:basedOn w:val="Normal"/>
    <w:rsid w:val="00C10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sz w:val="20"/>
      <w:szCs w:val="20"/>
      <w:lang w:eastAsia="en-GB"/>
    </w:rPr>
  </w:style>
  <w:style w:type="paragraph" w:customStyle="1" w:styleId="xl66">
    <w:name w:val="xl66"/>
    <w:basedOn w:val="Normal"/>
    <w:rsid w:val="00C10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en-GB"/>
    </w:rPr>
  </w:style>
  <w:style w:type="paragraph" w:customStyle="1" w:styleId="xl67">
    <w:name w:val="xl67"/>
    <w:basedOn w:val="Normal"/>
    <w:rsid w:val="00C10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en-GB"/>
    </w:rPr>
  </w:style>
  <w:style w:type="paragraph" w:customStyle="1" w:styleId="xl68">
    <w:name w:val="xl68"/>
    <w:basedOn w:val="Normal"/>
    <w:rsid w:val="00C10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eastAsia="en-GB"/>
    </w:rPr>
  </w:style>
  <w:style w:type="paragraph" w:customStyle="1" w:styleId="xl69">
    <w:name w:val="xl69"/>
    <w:basedOn w:val="Normal"/>
    <w:rsid w:val="00C101CA"/>
    <w:pPr>
      <w:spacing w:before="100" w:beforeAutospacing="1" w:after="100" w:afterAutospacing="1" w:line="240" w:lineRule="auto"/>
      <w:textAlignment w:val="top"/>
    </w:pPr>
    <w:rPr>
      <w:rFonts w:ascii="Times New Roman" w:eastAsia="Times New Roman" w:hAnsi="Times New Roman" w:cs="Times New Roman"/>
      <w:b/>
      <w:bCs/>
      <w:sz w:val="18"/>
      <w:szCs w:val="18"/>
      <w:lang w:eastAsia="en-GB"/>
    </w:rPr>
  </w:style>
  <w:style w:type="paragraph" w:customStyle="1" w:styleId="xl70">
    <w:name w:val="xl70"/>
    <w:basedOn w:val="Normal"/>
    <w:rsid w:val="00C10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en-GB"/>
    </w:rPr>
  </w:style>
  <w:style w:type="paragraph" w:customStyle="1" w:styleId="xl71">
    <w:name w:val="xl71"/>
    <w:basedOn w:val="Normal"/>
    <w:rsid w:val="00C10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en-GB"/>
    </w:rPr>
  </w:style>
  <w:style w:type="paragraph" w:customStyle="1" w:styleId="xl72">
    <w:name w:val="xl72"/>
    <w:basedOn w:val="Normal"/>
    <w:rsid w:val="00C101CA"/>
    <w:pPr>
      <w:spacing w:before="100" w:beforeAutospacing="1" w:after="100" w:afterAutospacing="1" w:line="240" w:lineRule="auto"/>
      <w:textAlignment w:val="top"/>
    </w:pPr>
    <w:rPr>
      <w:rFonts w:ascii="Times New Roman" w:eastAsia="Times New Roman" w:hAnsi="Times New Roman" w:cs="Times New Roman"/>
      <w:sz w:val="18"/>
      <w:szCs w:val="18"/>
      <w:lang w:eastAsia="en-GB"/>
    </w:rPr>
  </w:style>
  <w:style w:type="paragraph" w:customStyle="1" w:styleId="xl73">
    <w:name w:val="xl73"/>
    <w:basedOn w:val="Normal"/>
    <w:rsid w:val="00C10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sz w:val="18"/>
      <w:szCs w:val="18"/>
      <w:lang w:eastAsia="en-GB"/>
    </w:rPr>
  </w:style>
  <w:style w:type="paragraph" w:customStyle="1" w:styleId="xl74">
    <w:name w:val="xl74"/>
    <w:basedOn w:val="Normal"/>
    <w:rsid w:val="00C101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sz w:val="18"/>
      <w:szCs w:val="18"/>
      <w:lang w:eastAsia="en-GB"/>
    </w:rPr>
  </w:style>
  <w:style w:type="paragraph" w:customStyle="1" w:styleId="xl75">
    <w:name w:val="xl75"/>
    <w:basedOn w:val="Normal"/>
    <w:rsid w:val="00C101CA"/>
    <w:pPr>
      <w:spacing w:before="100" w:beforeAutospacing="1" w:after="100" w:afterAutospacing="1" w:line="240" w:lineRule="auto"/>
      <w:textAlignment w:val="top"/>
    </w:pPr>
    <w:rPr>
      <w:rFonts w:ascii="Times New Roman" w:eastAsia="Times New Roman" w:hAnsi="Times New Roman" w:cs="Times New Roman"/>
      <w:sz w:val="18"/>
      <w:szCs w:val="18"/>
      <w:lang w:eastAsia="en-GB"/>
    </w:rPr>
  </w:style>
  <w:style w:type="table" w:customStyle="1" w:styleId="TableGrid3">
    <w:name w:val="Table Grid3"/>
    <w:basedOn w:val="TableNormal"/>
    <w:next w:val="TableGrid"/>
    <w:uiPriority w:val="59"/>
    <w:rsid w:val="00157B77"/>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56045"/>
  </w:style>
  <w:style w:type="paragraph" w:customStyle="1" w:styleId="xl63">
    <w:name w:val="xl63"/>
    <w:basedOn w:val="Normal"/>
    <w:rsid w:val="00056045"/>
    <w:pPr>
      <w:pBdr>
        <w:top w:val="single" w:sz="8" w:space="0" w:color="C0C0C0"/>
        <w:left w:val="single" w:sz="8" w:space="0" w:color="C0C0C0"/>
        <w:bottom w:val="single" w:sz="8" w:space="0" w:color="C0C0C0"/>
        <w:right w:val="single" w:sz="8" w:space="0" w:color="C0C0C0"/>
      </w:pBdr>
      <w:shd w:val="clear" w:color="000000" w:fill="E7E5E5"/>
      <w:spacing w:before="100" w:beforeAutospacing="1" w:after="100" w:afterAutospacing="1" w:line="240" w:lineRule="auto"/>
      <w:jc w:val="center"/>
      <w:textAlignment w:val="top"/>
    </w:pPr>
    <w:rPr>
      <w:rFonts w:ascii="Arial" w:eastAsia="Times New Roman" w:hAnsi="Arial"/>
      <w:color w:val="333333"/>
      <w:sz w:val="16"/>
      <w:szCs w:val="16"/>
      <w:lang w:eastAsia="en-GB"/>
    </w:rPr>
  </w:style>
  <w:style w:type="paragraph" w:customStyle="1" w:styleId="xl64">
    <w:name w:val="xl64"/>
    <w:basedOn w:val="Normal"/>
    <w:rsid w:val="00056045"/>
    <w:pPr>
      <w:pBdr>
        <w:top w:val="single" w:sz="8" w:space="0" w:color="E2E2E2"/>
        <w:left w:val="single" w:sz="8" w:space="0" w:color="E2E2E2"/>
        <w:bottom w:val="single" w:sz="8" w:space="0" w:color="E2E2E2"/>
        <w:right w:val="single" w:sz="8" w:space="0" w:color="E2E2E2"/>
      </w:pBdr>
      <w:spacing w:before="100" w:beforeAutospacing="1" w:after="100" w:afterAutospacing="1" w:line="240" w:lineRule="auto"/>
      <w:textAlignment w:val="top"/>
    </w:pPr>
    <w:rPr>
      <w:rFonts w:ascii="Arial" w:eastAsia="Times New Roman" w:hAnsi="Arial"/>
      <w:color w:val="454545"/>
      <w:sz w:val="16"/>
      <w:szCs w:val="16"/>
      <w:lang w:eastAsia="en-GB"/>
    </w:rPr>
  </w:style>
  <w:style w:type="paragraph" w:customStyle="1" w:styleId="xl65">
    <w:name w:val="xl65"/>
    <w:basedOn w:val="Normal"/>
    <w:rsid w:val="00056045"/>
    <w:pPr>
      <w:pBdr>
        <w:top w:val="single" w:sz="8" w:space="0" w:color="E2E2E2"/>
        <w:left w:val="single" w:sz="8" w:space="0" w:color="E2E2E2"/>
        <w:bottom w:val="single" w:sz="8" w:space="0" w:color="E2E2E2"/>
        <w:right w:val="single" w:sz="8" w:space="0" w:color="E2E2E2"/>
      </w:pBdr>
      <w:spacing w:before="100" w:beforeAutospacing="1" w:after="100" w:afterAutospacing="1" w:line="240" w:lineRule="auto"/>
      <w:jc w:val="right"/>
      <w:textAlignment w:val="top"/>
    </w:pPr>
    <w:rPr>
      <w:rFonts w:ascii="Arial" w:eastAsia="Times New Roman" w:hAnsi="Arial"/>
      <w:color w:val="454545"/>
      <w:sz w:val="16"/>
      <w:szCs w:val="16"/>
      <w:lang w:eastAsia="en-GB"/>
    </w:rPr>
  </w:style>
  <w:style w:type="numbering" w:customStyle="1" w:styleId="NoList2">
    <w:name w:val="No List2"/>
    <w:next w:val="NoList"/>
    <w:uiPriority w:val="99"/>
    <w:semiHidden/>
    <w:unhideWhenUsed/>
    <w:rsid w:val="002F7315"/>
  </w:style>
  <w:style w:type="table" w:customStyle="1" w:styleId="TableGrid4">
    <w:name w:val="Table Grid4"/>
    <w:basedOn w:val="TableNormal"/>
    <w:next w:val="TableGrid"/>
    <w:uiPriority w:val="59"/>
    <w:rsid w:val="002F7315"/>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F7315"/>
  </w:style>
  <w:style w:type="table" w:customStyle="1" w:styleId="TableGrid5">
    <w:name w:val="Table Grid5"/>
    <w:basedOn w:val="TableNormal"/>
    <w:next w:val="TableGrid"/>
    <w:uiPriority w:val="59"/>
    <w:rsid w:val="002F7315"/>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B1E4C"/>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2DD8"/>
    <w:rPr>
      <w:sz w:val="16"/>
      <w:szCs w:val="16"/>
    </w:rPr>
  </w:style>
  <w:style w:type="paragraph" w:styleId="CommentText">
    <w:name w:val="annotation text"/>
    <w:basedOn w:val="Normal"/>
    <w:link w:val="CommentTextChar"/>
    <w:uiPriority w:val="99"/>
    <w:semiHidden/>
    <w:unhideWhenUsed/>
    <w:rsid w:val="00F52DD8"/>
    <w:pPr>
      <w:spacing w:line="240" w:lineRule="auto"/>
    </w:pPr>
    <w:rPr>
      <w:sz w:val="20"/>
      <w:szCs w:val="20"/>
    </w:rPr>
  </w:style>
  <w:style w:type="character" w:customStyle="1" w:styleId="CommentTextChar">
    <w:name w:val="Comment Text Char"/>
    <w:basedOn w:val="DefaultParagraphFont"/>
    <w:link w:val="CommentText"/>
    <w:uiPriority w:val="99"/>
    <w:semiHidden/>
    <w:rsid w:val="00F52DD8"/>
    <w:rPr>
      <w:sz w:val="20"/>
      <w:szCs w:val="20"/>
    </w:rPr>
  </w:style>
  <w:style w:type="paragraph" w:styleId="CommentSubject">
    <w:name w:val="annotation subject"/>
    <w:basedOn w:val="CommentText"/>
    <w:next w:val="CommentText"/>
    <w:link w:val="CommentSubjectChar"/>
    <w:uiPriority w:val="99"/>
    <w:semiHidden/>
    <w:unhideWhenUsed/>
    <w:rsid w:val="00F52DD8"/>
    <w:rPr>
      <w:b/>
      <w:bCs/>
    </w:rPr>
  </w:style>
  <w:style w:type="character" w:customStyle="1" w:styleId="CommentSubjectChar">
    <w:name w:val="Comment Subject Char"/>
    <w:basedOn w:val="CommentTextChar"/>
    <w:link w:val="CommentSubject"/>
    <w:uiPriority w:val="99"/>
    <w:semiHidden/>
    <w:rsid w:val="00F52DD8"/>
    <w:rPr>
      <w:b/>
      <w:bCs/>
      <w:sz w:val="20"/>
      <w:szCs w:val="20"/>
    </w:rPr>
  </w:style>
  <w:style w:type="table" w:customStyle="1" w:styleId="TableGrid7">
    <w:name w:val="Table Grid7"/>
    <w:basedOn w:val="TableNormal"/>
    <w:next w:val="TableGrid"/>
    <w:uiPriority w:val="59"/>
    <w:rsid w:val="00886B3B"/>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886B3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32127"/>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334AA"/>
    <w:pPr>
      <w:spacing w:line="240" w:lineRule="auto"/>
    </w:pPr>
    <w:rPr>
      <w:sz w:val="20"/>
      <w:szCs w:val="20"/>
    </w:rPr>
  </w:style>
  <w:style w:type="character" w:customStyle="1" w:styleId="EndnoteTextChar">
    <w:name w:val="Endnote Text Char"/>
    <w:basedOn w:val="DefaultParagraphFont"/>
    <w:link w:val="EndnoteText"/>
    <w:uiPriority w:val="99"/>
    <w:semiHidden/>
    <w:rsid w:val="00B334AA"/>
    <w:rPr>
      <w:sz w:val="20"/>
      <w:szCs w:val="20"/>
    </w:rPr>
  </w:style>
  <w:style w:type="character" w:styleId="EndnoteReference">
    <w:name w:val="endnote reference"/>
    <w:basedOn w:val="DefaultParagraphFont"/>
    <w:uiPriority w:val="99"/>
    <w:semiHidden/>
    <w:unhideWhenUsed/>
    <w:rsid w:val="00B334AA"/>
    <w:rPr>
      <w:vertAlign w:val="superscript"/>
    </w:rPr>
  </w:style>
  <w:style w:type="paragraph" w:styleId="FootnoteText">
    <w:name w:val="footnote text"/>
    <w:basedOn w:val="Normal"/>
    <w:link w:val="FootnoteTextChar"/>
    <w:uiPriority w:val="99"/>
    <w:semiHidden/>
    <w:unhideWhenUsed/>
    <w:rsid w:val="00B334AA"/>
    <w:pPr>
      <w:spacing w:line="240" w:lineRule="auto"/>
    </w:pPr>
    <w:rPr>
      <w:sz w:val="20"/>
      <w:szCs w:val="20"/>
    </w:rPr>
  </w:style>
  <w:style w:type="character" w:customStyle="1" w:styleId="FootnoteTextChar">
    <w:name w:val="Footnote Text Char"/>
    <w:basedOn w:val="DefaultParagraphFont"/>
    <w:link w:val="FootnoteText"/>
    <w:uiPriority w:val="99"/>
    <w:semiHidden/>
    <w:rsid w:val="00B334AA"/>
    <w:rPr>
      <w:sz w:val="20"/>
      <w:szCs w:val="20"/>
    </w:rPr>
  </w:style>
  <w:style w:type="character" w:styleId="FootnoteReference">
    <w:name w:val="footnote reference"/>
    <w:basedOn w:val="DefaultParagraphFont"/>
    <w:uiPriority w:val="99"/>
    <w:semiHidden/>
    <w:unhideWhenUsed/>
    <w:rsid w:val="00B334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446674">
      <w:bodyDiv w:val="1"/>
      <w:marLeft w:val="0"/>
      <w:marRight w:val="0"/>
      <w:marTop w:val="0"/>
      <w:marBottom w:val="0"/>
      <w:divBdr>
        <w:top w:val="none" w:sz="0" w:space="0" w:color="auto"/>
        <w:left w:val="none" w:sz="0" w:space="0" w:color="auto"/>
        <w:bottom w:val="none" w:sz="0" w:space="0" w:color="auto"/>
        <w:right w:val="none" w:sz="0" w:space="0" w:color="auto"/>
      </w:divBdr>
    </w:div>
    <w:div w:id="964046372">
      <w:bodyDiv w:val="1"/>
      <w:marLeft w:val="0"/>
      <w:marRight w:val="0"/>
      <w:marTop w:val="0"/>
      <w:marBottom w:val="0"/>
      <w:divBdr>
        <w:top w:val="none" w:sz="0" w:space="0" w:color="auto"/>
        <w:left w:val="none" w:sz="0" w:space="0" w:color="auto"/>
        <w:bottom w:val="none" w:sz="0" w:space="0" w:color="auto"/>
        <w:right w:val="none" w:sz="0" w:space="0" w:color="auto"/>
      </w:divBdr>
    </w:div>
    <w:div w:id="1132868934">
      <w:bodyDiv w:val="1"/>
      <w:marLeft w:val="0"/>
      <w:marRight w:val="0"/>
      <w:marTop w:val="0"/>
      <w:marBottom w:val="0"/>
      <w:divBdr>
        <w:top w:val="none" w:sz="0" w:space="0" w:color="auto"/>
        <w:left w:val="none" w:sz="0" w:space="0" w:color="auto"/>
        <w:bottom w:val="none" w:sz="0" w:space="0" w:color="auto"/>
        <w:right w:val="none" w:sz="0" w:space="0" w:color="auto"/>
      </w:divBdr>
    </w:div>
    <w:div w:id="1469980922">
      <w:bodyDiv w:val="1"/>
      <w:marLeft w:val="0"/>
      <w:marRight w:val="0"/>
      <w:marTop w:val="0"/>
      <w:marBottom w:val="0"/>
      <w:divBdr>
        <w:top w:val="none" w:sz="0" w:space="0" w:color="auto"/>
        <w:left w:val="none" w:sz="0" w:space="0" w:color="auto"/>
        <w:bottom w:val="none" w:sz="0" w:space="0" w:color="auto"/>
        <w:right w:val="none" w:sz="0" w:space="0" w:color="auto"/>
      </w:divBdr>
    </w:div>
    <w:div w:id="194950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oray.gov.uk/moray_standard/page_101331.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4ca54b59-a707-4c22-a2e9-1d5b9a326421" ContentTypeId="0x010100F4579FC8C7439B4A81130FDACC7F49892D0106"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PersistId xmlns="c44dace1-49c5-45b2-a3fd-8f9663d2bbff">true</_dlc_DocIdPersistId>
    <_dlc_DocId xmlns="c44dace1-49c5-45b2-a3fd-8f9663d2bbff">SPMAN-1293228629-594</_dlc_DocId>
    <_dlc_DocIdUrl xmlns="c44dace1-49c5-45b2-a3fd-8f9663d2bbff">
      <Url>http://spman.moray.gov.uk/MANComRepDraftSite/_layouts/DocIdRedir.aspx?ID=SPMAN-1293228629-594</Url>
      <Description>SPMAN-1293228629-594</Description>
    </_dlc_DocIdUrl>
    <TaxCatchAll xmlns="c44dace1-49c5-45b2-a3fd-8f9663d2bbff">
      <Value>771</Value>
    </TaxCatchAll>
    <ClosureDate xmlns="c44dace1-49c5-45b2-a3fd-8f9663d2bbff">2023-03-30T23:00:00+00:00</ClosureDate>
    <FileRef1 xmlns="c44dace1-49c5-45b2-a3fd-8f9663d2bbff" xsi:nil="true"/>
    <DateTime xmlns="c44dace1-49c5-45b2-a3fd-8f9663d2bbff" xsi:nil="true"/>
    <Committee xmlns="c44dace1-49c5-45b2-a3fd-8f9663d2bbff">Moray Council</Committee>
    <ReponsibleOfficer xmlns="c44dace1-49c5-45b2-a3fd-8f9663d2bbff">
      <UserInfo>
        <DisplayName/>
        <AccountId xsi:nil="true"/>
        <AccountType/>
      </UserInfo>
    </ReponsibleOfficer>
    <bd985bbe68b74225aaf8b24203c90860 xmlns="c44dace1-49c5-45b2-a3fd-8f9663d2bbff">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b0682ce8-15e0-4e15-8e2e-9017dca02745</TermId>
        </TermInfo>
      </Terms>
    </bd985bbe68b74225aaf8b24203c90860>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CORP Committee Appendix" ma:contentTypeID="0x010100F4579FC8C7439B4A81130FDACC7F49892D0106001CA0F7CFE676FE4C902F4A8EF5BC00DF" ma:contentTypeVersion="24" ma:contentTypeDescription="" ma:contentTypeScope="" ma:versionID="b6023ccf1ea24a244d640b380366b048">
  <xsd:schema xmlns:xsd="http://www.w3.org/2001/XMLSchema" xmlns:xs="http://www.w3.org/2001/XMLSchema" xmlns:p="http://schemas.microsoft.com/office/2006/metadata/properties" xmlns:ns2="c44dace1-49c5-45b2-a3fd-8f9663d2bbff" targetNamespace="http://schemas.microsoft.com/office/2006/metadata/properties" ma:root="true" ma:fieldsID="1506bcd94d6f6de890f8ca28ea62fec7" ns2:_="">
    <xsd:import namespace="c44dace1-49c5-45b2-a3fd-8f9663d2bbff"/>
    <xsd:element name="properties">
      <xsd:complexType>
        <xsd:sequence>
          <xsd:element name="documentManagement">
            <xsd:complexType>
              <xsd:all>
                <xsd:element ref="ns2:FileRef1" minOccurs="0"/>
                <xsd:element ref="ns2:Committee" minOccurs="0"/>
                <xsd:element ref="ns2:DateTime" minOccurs="0"/>
                <xsd:element ref="ns2:ReponsibleOfficer" minOccurs="0"/>
                <xsd:element ref="ns2:ClosureDate" minOccurs="0"/>
                <xsd:element ref="ns2:_dlc_DocIdPersistId" minOccurs="0"/>
                <xsd:element ref="ns2:bd985bbe68b74225aaf8b24203c90860" minOccurs="0"/>
                <xsd:element ref="ns2:TaxCatchAll" minOccurs="0"/>
                <xsd:element ref="ns2:TaxCatchAllLabel" minOccurs="0"/>
                <xsd:element ref="ns2:_dlc_DocIdUrl" minOccurs="0"/>
                <xsd:element ref="ns2: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dace1-49c5-45b2-a3fd-8f9663d2bbff" elementFormDefault="qualified">
    <xsd:import namespace="http://schemas.microsoft.com/office/2006/documentManagement/types"/>
    <xsd:import namespace="http://schemas.microsoft.com/office/infopath/2007/PartnerControls"/>
    <xsd:element name="FileRef1" ma:index="2" nillable="true" ma:displayName="File Ref" ma:internalName="FileRef1">
      <xsd:simpleType>
        <xsd:restriction base="dms:Text">
          <xsd:maxLength value="255"/>
        </xsd:restriction>
      </xsd:simpleType>
    </xsd:element>
    <xsd:element name="Committee" ma:index="4" nillable="true" ma:displayName="Committee" ma:format="Dropdown" ma:internalName="Committee" ma:readOnly="false">
      <xsd:simpleType>
        <xsd:restriction base="dms:Choice">
          <xsd:enumeration value="Appeals_Cases"/>
          <xsd:enumeration value="Appeals_Committee"/>
          <xsd:enumeration value="Area Based Review Working Party"/>
          <xsd:enumeration value="Audit &amp; Scrutiny Committee"/>
          <xsd:enumeration value="Children &amp; Young Peoples Services Committee"/>
          <xsd:enumeration value="Committee Reports_In"/>
          <xsd:enumeration value="Communities Committee"/>
          <xsd:enumeration value="Community Planning Board"/>
          <xsd:enumeration value="Corporate Services"/>
          <xsd:enumeration value="Economic Development &amp; Infrastructure Services Committee"/>
          <xsd:enumeration value="Economic Growth, Housing &amp; Environmental Services"/>
          <xsd:enumeration value="Education, Children's Services &amp; Leisure"/>
          <xsd:enumeration value="Education, Communities &amp; Organisational Development"/>
          <xsd:enumeration value="Flood Alleviation Sub Committee"/>
          <xsd:enumeration value="Grampian Valuation Joint Board"/>
          <xsd:enumeration value="Health &amp; Social Care Services Committee"/>
          <xsd:enumeration value="Integrated Joint Board"/>
          <xsd:enumeration value="Housing Appeals Sub Committee"/>
          <xsd:enumeration value="Joint Consultative Committee"/>
          <xsd:enumeration value="Licensing Committee"/>
          <xsd:enumeration value="Local Review Body_Cases"/>
          <xsd:enumeration value="Local Review Body_Committee"/>
          <xsd:enumeration value="Moray Child Protection Committee"/>
          <xsd:enumeration value="Moray Council"/>
          <xsd:enumeration value="Planning &amp; Regulatory Services Committee"/>
          <xsd:enumeration value="Planning &amp; Regulatory Services Committee _Hearings"/>
          <xsd:enumeration value="Police &amp; Fire and Rescue Services Committee"/>
          <xsd:enumeration value="Policy &amp; Resources Committee"/>
          <xsd:enumeration value="School Placings and Exclusions Appeals _ Cases"/>
          <xsd:enumeration value="School Placings and Exclusions Appeals _ Committee"/>
          <xsd:enumeration value="Service Development Group"/>
          <xsd:enumeration value="Social Work Complaints Review Committee"/>
          <xsd:enumeration value="The Moray Council"/>
        </xsd:restriction>
      </xsd:simpleType>
    </xsd:element>
    <xsd:element name="DateTime" ma:index="5" nillable="true" ma:displayName="Date Time" ma:format="DateTime" ma:internalName="DateTime">
      <xsd:simpleType>
        <xsd:restriction base="dms:DateTime"/>
      </xsd:simpleType>
    </xsd:element>
    <xsd:element name="ReponsibleOfficer" ma:index="6" nillable="true" ma:displayName="Responsible Officer" ma:list="UserInfo" ma:SearchPeopleOnly="false" ma:SharePointGroup="0" ma:internalName="Reponsible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osureDate" ma:index="7" nillable="true" ma:displayName="Closure Date" ma:format="DateOnly" ma:internalName="ClosureDate">
      <xsd:simpleType>
        <xsd:restriction base="dms:DateTime"/>
      </xsd:simpleType>
    </xsd:element>
    <xsd:element name="_dlc_DocIdPersistId" ma:index="8" nillable="true" ma:displayName="Persist ID" ma:description="Keep ID on add." ma:hidden="true" ma:internalName="_dlc_DocIdPersistId" ma:readOnly="true">
      <xsd:simpleType>
        <xsd:restriction base="dms:Boolean"/>
      </xsd:simpleType>
    </xsd:element>
    <xsd:element name="bd985bbe68b74225aaf8b24203c90860" ma:index="11" nillable="true" ma:taxonomy="true" ma:internalName="bd985bbe68b74225aaf8b24203c90860" ma:taxonomyFieldName="LibraryName" ma:displayName="Library Name" ma:default="" ma:fieldId="{bd985bbe-68b7-4225-aaf8-b24203c90860}" ma:sspId="7b547146-5c2e-4cb4-9045-d68115c8f7b4" ma:termSetId="0c741afa-04ac-4c98-a0a9-72e3ccd0f75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ae15d49-92dd-45da-a212-73731c5d6079}" ma:internalName="TaxCatchAll" ma:showField="CatchAllData" ma:web="d019766b-4921-48a0-82b4-d3861cd3ff0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ae15d49-92dd-45da-a212-73731c5d6079}" ma:internalName="TaxCatchAllLabel" ma:readOnly="true" ma:showField="CatchAllDataLabel" ma:web="d019766b-4921-48a0-82b4-d3861cd3ff06">
      <xsd:complexType>
        <xsd:complexContent>
          <xsd:extension base="dms:MultiChoiceLookup">
            <xsd:sequence>
              <xsd:element name="Value" type="dms:Lookup" maxOccurs="unbounded" minOccurs="0" nillable="true"/>
            </xsd:sequence>
          </xsd:extension>
        </xsd:complexContent>
      </xsd:complex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D1426-E47A-49A2-9277-E3D4441AB510}">
  <ds:schemaRefs>
    <ds:schemaRef ds:uri="Microsoft.SharePoint.Taxonomy.ContentTypeSync"/>
  </ds:schemaRefs>
</ds:datastoreItem>
</file>

<file path=customXml/itemProps2.xml><?xml version="1.0" encoding="utf-8"?>
<ds:datastoreItem xmlns:ds="http://schemas.openxmlformats.org/officeDocument/2006/customXml" ds:itemID="{52D10A0A-E73A-40D3-BC26-FE030C8210DA}">
  <ds:schemaRefs>
    <ds:schemaRef ds:uri="http://purl.org/dc/terms/"/>
    <ds:schemaRef ds:uri="http://schemas.openxmlformats.org/package/2006/metadata/core-properties"/>
    <ds:schemaRef ds:uri="http://schemas.microsoft.com/office/2006/documentManagement/types"/>
    <ds:schemaRef ds:uri="c44dace1-49c5-45b2-a3fd-8f9663d2bbf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E1893BF-65A2-4727-8E80-CBE13470E4B4}">
  <ds:schemaRefs>
    <ds:schemaRef ds:uri="http://schemas.microsoft.com/sharepoint/events"/>
  </ds:schemaRefs>
</ds:datastoreItem>
</file>

<file path=customXml/itemProps4.xml><?xml version="1.0" encoding="utf-8"?>
<ds:datastoreItem xmlns:ds="http://schemas.openxmlformats.org/officeDocument/2006/customXml" ds:itemID="{26E1BFB9-8E1E-4075-87AB-C17528563C2C}">
  <ds:schemaRefs>
    <ds:schemaRef ds:uri="http://schemas.microsoft.com/office/2006/metadata/customXsn"/>
  </ds:schemaRefs>
</ds:datastoreItem>
</file>

<file path=customXml/itemProps5.xml><?xml version="1.0" encoding="utf-8"?>
<ds:datastoreItem xmlns:ds="http://schemas.openxmlformats.org/officeDocument/2006/customXml" ds:itemID="{92BC8317-6FF8-4305-B0FD-05B06D11D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dace1-49c5-45b2-a3fd-8f9663d2b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CF8F3A5-DC69-4375-84AD-1B474C27D64E}">
  <ds:schemaRefs>
    <ds:schemaRef ds:uri="http://schemas.microsoft.com/sharepoint/v3/contenttype/forms"/>
  </ds:schemaRefs>
</ds:datastoreItem>
</file>

<file path=customXml/itemProps7.xml><?xml version="1.0" encoding="utf-8"?>
<ds:datastoreItem xmlns:ds="http://schemas.openxmlformats.org/officeDocument/2006/customXml" ds:itemID="{33ECA9D5-3D1C-4A0C-B02B-09E0B2DF0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4452</Words>
  <Characters>25380</Characters>
  <Application>Microsoft Office Word</Application>
  <DocSecurity>4</DocSecurity>
  <Lines>211</Lines>
  <Paragraphs>59</Paragraphs>
  <ScaleCrop>false</ScaleCrop>
  <HeadingPairs>
    <vt:vector size="2" baseType="variant">
      <vt:variant>
        <vt:lpstr>Title</vt:lpstr>
      </vt:variant>
      <vt:variant>
        <vt:i4>1</vt:i4>
      </vt:variant>
    </vt:vector>
  </HeadingPairs>
  <TitlesOfParts>
    <vt:vector size="1" baseType="lpstr">
      <vt:lpstr>MC 20210310 Appendix 2019-20 Procurement Annual Report</vt:lpstr>
    </vt:vector>
  </TitlesOfParts>
  <Company>The Moray Council</Company>
  <LinksUpToDate>false</LinksUpToDate>
  <CharactersWithSpaces>29773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 20210310 Appendix 2019-20 Procurement Annual Report</dc:title>
  <dc:creator>Diane Beattie</dc:creator>
  <cp:lastModifiedBy>Jay Campbell</cp:lastModifiedBy>
  <cp:revision>2</cp:revision>
  <cp:lastPrinted>2019-08-28T14:12:00Z</cp:lastPrinted>
  <dcterms:created xsi:type="dcterms:W3CDTF">2021-09-27T08:53:00Z</dcterms:created>
  <dcterms:modified xsi:type="dcterms:W3CDTF">2021-09-27T08:53:00Z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0x010100F4579FC8C7439B4A81130FDACC7F49892D0106001CA0F7CFE676FE4C902F4A8EF5BC00DF</vt:lpwstr>
  </property>
  <property fmtid="{D5CDD505-2E9C-101B-9397-08002B2CF9AE}" pid="3" name="_dlc_DocIdItemGuid">
    <vt:lpwstr>390f13c3-88e1-4b2f-b9bc-484ad56c32ea</vt:lpwstr>
  </property>
  <property fmtid="{D5CDD505-2E9C-101B-9397-08002B2CF9AE}" pid="4" name="_dlc_policyId">
    <vt:lpwstr/>
  </property>
  <property fmtid="{D5CDD505-2E9C-101B-9397-08002B2CF9AE}" pid="5" name="Committee">
    <vt:lpwstr>Economic Growth, Housing &amp; Environmental Services</vt:lpwstr>
  </property>
  <property fmtid="{D5CDD505-2E9C-101B-9397-08002B2CF9AE}" pid="6" name="bd985bbe68b74225aaf8b24203c90860">
    <vt:lpwstr>Finance|b0682ce8-15e0-4e15-8e2e-9017dca02745</vt:lpwstr>
  </property>
  <property fmtid="{D5CDD505-2E9C-101B-9397-08002B2CF9AE}" pid="7" name="LibraryName">
    <vt:lpwstr>771;#Finance|b0682ce8-15e0-4e15-8e2e-9017dca02745</vt:lpwstr>
  </property>
  <property fmtid="{D5CDD505-2E9C-101B-9397-08002B2CF9AE}" pid="8" name="ItemRetentionFormula">
    <vt:lpwstr/>
  </property>
  <property fmtid="{D5CDD505-2E9C-101B-9397-08002B2CF9AE}" pid="9" name="_docset_NoMedatataSyncRequired">
    <vt:lpwstr>False</vt:lpwstr>
  </property>
</Properties>
</file>