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4D" w:rsidRPr="00B35AFF" w:rsidRDefault="00461C4D" w:rsidP="00461C4D">
      <w:pPr>
        <w:spacing w:after="160" w:line="259" w:lineRule="auto"/>
        <w:ind w:firstLine="720"/>
        <w:rPr>
          <w:rFonts w:ascii="Calibri" w:eastAsia="Calibri" w:hAnsi="Calibri"/>
          <w:b/>
          <w:sz w:val="28"/>
          <w:szCs w:val="22"/>
        </w:rPr>
      </w:pPr>
      <w:r w:rsidRPr="00B35AFF">
        <w:rPr>
          <w:rFonts w:ascii="Calibri" w:eastAsia="Calibri" w:hAnsi="Calibri"/>
          <w:b/>
          <w:sz w:val="28"/>
          <w:szCs w:val="22"/>
        </w:rPr>
        <w:t>L</w:t>
      </w:r>
      <w:r>
        <w:rPr>
          <w:rFonts w:ascii="Calibri" w:eastAsia="Calibri" w:hAnsi="Calibri"/>
          <w:b/>
          <w:sz w:val="28"/>
          <w:szCs w:val="22"/>
        </w:rPr>
        <w:t>ICENSING</w:t>
      </w:r>
      <w:r w:rsidRPr="00B35AFF">
        <w:rPr>
          <w:rFonts w:ascii="Calibri" w:eastAsia="Calibri" w:hAnsi="Calibri"/>
          <w:b/>
          <w:sz w:val="28"/>
          <w:szCs w:val="22"/>
        </w:rPr>
        <w:t xml:space="preserve"> (S</w:t>
      </w:r>
      <w:r>
        <w:rPr>
          <w:rFonts w:ascii="Calibri" w:eastAsia="Calibri" w:hAnsi="Calibri"/>
          <w:b/>
          <w:sz w:val="28"/>
          <w:szCs w:val="22"/>
        </w:rPr>
        <w:t>COTLAND) ACT</w:t>
      </w:r>
      <w:r w:rsidRPr="00B35AFF">
        <w:rPr>
          <w:rFonts w:ascii="Calibri" w:eastAsia="Calibri" w:hAnsi="Calibri"/>
          <w:b/>
          <w:sz w:val="28"/>
          <w:szCs w:val="22"/>
        </w:rPr>
        <w:t xml:space="preserve"> 2005</w:t>
      </w:r>
    </w:p>
    <w:p w:rsidR="00461C4D" w:rsidRPr="00D04CAB" w:rsidRDefault="00461C4D" w:rsidP="00461C4D">
      <w:pPr>
        <w:spacing w:after="160" w:line="259" w:lineRule="auto"/>
        <w:ind w:firstLine="720"/>
        <w:rPr>
          <w:rFonts w:ascii="Calibri" w:eastAsia="Calibri" w:hAnsi="Calibri"/>
          <w:b/>
          <w:sz w:val="28"/>
          <w:szCs w:val="22"/>
        </w:rPr>
      </w:pPr>
      <w:r w:rsidRPr="00D04CAB">
        <w:rPr>
          <w:rFonts w:ascii="Calibri" w:eastAsia="Calibri" w:hAnsi="Calibri"/>
          <w:b/>
          <w:sz w:val="28"/>
          <w:szCs w:val="22"/>
        </w:rPr>
        <w:t>MORAY LICENSING BOARD FINANCIAL REPORT</w:t>
      </w:r>
    </w:p>
    <w:p w:rsidR="00461C4D" w:rsidRPr="00B35AFF" w:rsidRDefault="00461C4D" w:rsidP="00461C4D">
      <w:pPr>
        <w:spacing w:after="160" w:line="259" w:lineRule="auto"/>
        <w:rPr>
          <w:rFonts w:ascii="Calibri" w:eastAsia="Calibri" w:hAnsi="Calibri"/>
          <w:b/>
          <w:sz w:val="28"/>
          <w:szCs w:val="22"/>
        </w:rPr>
      </w:pPr>
      <w:r w:rsidRPr="00B35AFF">
        <w:rPr>
          <w:rFonts w:ascii="Calibri" w:eastAsia="Calibri" w:hAnsi="Calibri"/>
          <w:b/>
          <w:sz w:val="28"/>
          <w:szCs w:val="22"/>
        </w:rPr>
        <w:tab/>
      </w:r>
      <w:r>
        <w:rPr>
          <w:rFonts w:ascii="Calibri" w:eastAsia="Calibri" w:hAnsi="Calibri"/>
          <w:b/>
          <w:sz w:val="28"/>
          <w:szCs w:val="22"/>
        </w:rPr>
        <w:t>FOR THE YEAR E</w:t>
      </w:r>
      <w:r>
        <w:rPr>
          <w:rFonts w:ascii="Calibri" w:eastAsia="Calibri" w:hAnsi="Calibri"/>
          <w:b/>
          <w:sz w:val="28"/>
          <w:szCs w:val="22"/>
        </w:rPr>
        <w:t>NDED 31 MARCH 2020</w:t>
      </w:r>
    </w:p>
    <w:p w:rsidR="00461C4D" w:rsidRPr="00B35AFF" w:rsidRDefault="00461C4D" w:rsidP="00461C4D">
      <w:pPr>
        <w:spacing w:after="160" w:line="259" w:lineRule="auto"/>
        <w:rPr>
          <w:rFonts w:ascii="Calibri" w:eastAsia="Calibri" w:hAnsi="Calibri"/>
          <w:sz w:val="22"/>
          <w:szCs w:val="22"/>
        </w:rPr>
      </w:pPr>
    </w:p>
    <w:p w:rsidR="00461C4D" w:rsidRPr="00D04CAB" w:rsidRDefault="00461C4D" w:rsidP="00461C4D">
      <w:pPr>
        <w:spacing w:after="160" w:line="259" w:lineRule="auto"/>
        <w:rPr>
          <w:rFonts w:ascii="Arial" w:eastAsia="Calibri" w:hAnsi="Arial" w:cs="Arial"/>
          <w:szCs w:val="24"/>
        </w:rPr>
      </w:pPr>
      <w:r w:rsidRPr="00D04CAB">
        <w:rPr>
          <w:rFonts w:ascii="Arial" w:eastAsia="Calibri" w:hAnsi="Arial" w:cs="Arial"/>
          <w:szCs w:val="24"/>
        </w:rPr>
        <w:t>The Moray Licensing Board is required under section 9B of the Licensing (Scotland) Act 2005 to publish an annual financial report within 3 months of the end of the relevant financial year.</w:t>
      </w:r>
      <w:r>
        <w:rPr>
          <w:rFonts w:ascii="Arial" w:eastAsia="Calibri" w:hAnsi="Arial" w:cs="Arial"/>
          <w:szCs w:val="24"/>
        </w:rPr>
        <w:t xml:space="preserve"> The figures for 2019/2020 were delayed owing to coronavirus and were reported to and agreed by the Board on the 30 September 2020.</w:t>
      </w:r>
    </w:p>
    <w:p w:rsidR="00461C4D" w:rsidRPr="00D04CAB" w:rsidRDefault="00461C4D" w:rsidP="00461C4D">
      <w:pPr>
        <w:spacing w:after="160" w:line="259" w:lineRule="auto"/>
        <w:rPr>
          <w:rFonts w:ascii="Arial" w:eastAsia="Calibri" w:hAnsi="Arial" w:cs="Arial"/>
          <w:szCs w:val="24"/>
        </w:rPr>
      </w:pPr>
      <w:r w:rsidRPr="00D04CAB">
        <w:rPr>
          <w:rFonts w:ascii="Arial" w:eastAsia="Calibri" w:hAnsi="Arial" w:cs="Arial"/>
          <w:szCs w:val="24"/>
        </w:rPr>
        <w:t>This report has been prepared using financial data taken as at</w:t>
      </w:r>
      <w:r w:rsidRPr="00D04CAB">
        <w:rPr>
          <w:rFonts w:ascii="Arial" w:eastAsia="Calibri" w:hAnsi="Arial" w:cs="Arial"/>
          <w:color w:val="FF0000"/>
          <w:szCs w:val="24"/>
        </w:rPr>
        <w:t xml:space="preserve"> </w:t>
      </w:r>
      <w:r>
        <w:rPr>
          <w:rFonts w:ascii="Arial" w:eastAsia="Calibri" w:hAnsi="Arial" w:cs="Arial"/>
          <w:szCs w:val="24"/>
        </w:rPr>
        <w:t>31 March 2020</w:t>
      </w:r>
      <w:r w:rsidRPr="00D04CAB">
        <w:rPr>
          <w:rFonts w:ascii="Arial" w:eastAsia="Calibri" w:hAnsi="Arial" w:cs="Arial"/>
          <w:szCs w:val="24"/>
        </w:rPr>
        <w:t>.  The relevant budgets and other finance sources that the data has been extracted from have not yet been audited.  Consequently the figures provided in this report are indicative and cannot be relied upon as an accurate reflection of income and expenditure relative to the exercise of the Licensing Board’s functions under the Licensing (Scotland) Act 2005.</w:t>
      </w:r>
    </w:p>
    <w:p w:rsidR="00461C4D" w:rsidRPr="00D04CAB" w:rsidRDefault="00461C4D" w:rsidP="00461C4D">
      <w:pPr>
        <w:spacing w:after="160" w:line="259" w:lineRule="auto"/>
        <w:rPr>
          <w:rFonts w:ascii="Arial" w:eastAsia="Calibri" w:hAnsi="Arial" w:cs="Arial"/>
          <w:szCs w:val="24"/>
        </w:rPr>
      </w:pPr>
      <w:r w:rsidRPr="00D04CAB">
        <w:rPr>
          <w:rFonts w:ascii="Arial" w:eastAsia="Calibri" w:hAnsi="Arial" w:cs="Arial"/>
          <w:szCs w:val="24"/>
        </w:rPr>
        <w:t>The financial statement is as follows: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tblGridChange w:id="0">
          <w:tblGrid>
            <w:gridCol w:w="4394"/>
            <w:gridCol w:w="2268"/>
          </w:tblGrid>
        </w:tblGridChange>
      </w:tblGrid>
      <w:tr w:rsidR="00461C4D" w:rsidRPr="00021B6D" w:rsidTr="00461C4D">
        <w:tc>
          <w:tcPr>
            <w:tcW w:w="4394" w:type="dxa"/>
            <w:shd w:val="clear" w:color="auto" w:fill="auto"/>
            <w:vAlign w:val="center"/>
          </w:tcPr>
          <w:p w:rsidR="00461C4D" w:rsidRPr="00021B6D" w:rsidRDefault="00461C4D" w:rsidP="00461C4D">
            <w:pPr>
              <w:spacing w:after="160" w:line="259" w:lineRule="auto"/>
              <w:rPr>
                <w:rFonts w:ascii="Arial" w:eastAsia="Calibri" w:hAnsi="Arial" w:cs="Arial"/>
                <w:sz w:val="22"/>
                <w:szCs w:val="24"/>
              </w:rPr>
            </w:pPr>
          </w:p>
        </w:tc>
        <w:tc>
          <w:tcPr>
            <w:tcW w:w="2268" w:type="dxa"/>
            <w:shd w:val="clear" w:color="auto" w:fill="auto"/>
          </w:tcPr>
          <w:p w:rsidR="00461C4D" w:rsidRPr="00B13900" w:rsidRDefault="00461C4D" w:rsidP="0099545C">
            <w:pPr>
              <w:spacing w:after="160" w:line="259" w:lineRule="auto"/>
              <w:jc w:val="center"/>
              <w:rPr>
                <w:rFonts w:ascii="Arial" w:eastAsia="Calibri" w:hAnsi="Arial" w:cs="Arial"/>
                <w:b/>
                <w:sz w:val="22"/>
                <w:szCs w:val="24"/>
              </w:rPr>
            </w:pPr>
            <w:r w:rsidRPr="00B13900">
              <w:rPr>
                <w:rFonts w:ascii="Arial" w:eastAsia="Calibri" w:hAnsi="Arial" w:cs="Arial"/>
                <w:b/>
                <w:sz w:val="22"/>
                <w:szCs w:val="24"/>
              </w:rPr>
              <w:t>£</w:t>
            </w:r>
          </w:p>
        </w:tc>
      </w:tr>
      <w:tr w:rsidR="00461C4D" w:rsidRPr="00021B6D" w:rsidTr="00461C4D">
        <w:tc>
          <w:tcPr>
            <w:tcW w:w="4394" w:type="dxa"/>
            <w:shd w:val="clear" w:color="auto" w:fill="auto"/>
            <w:vAlign w:val="center"/>
          </w:tcPr>
          <w:p w:rsidR="00461C4D" w:rsidRPr="00B13900" w:rsidRDefault="00461C4D" w:rsidP="00461C4D">
            <w:pPr>
              <w:spacing w:after="160" w:line="259" w:lineRule="auto"/>
              <w:rPr>
                <w:rFonts w:ascii="Arial" w:eastAsia="Calibri" w:hAnsi="Arial" w:cs="Arial"/>
                <w:b/>
                <w:sz w:val="22"/>
                <w:szCs w:val="24"/>
              </w:rPr>
            </w:pPr>
            <w:r w:rsidRPr="00B13900">
              <w:rPr>
                <w:rFonts w:ascii="Arial" w:eastAsia="Calibri" w:hAnsi="Arial" w:cs="Arial"/>
                <w:b/>
                <w:szCs w:val="24"/>
              </w:rPr>
              <w:t>Income</w:t>
            </w:r>
            <w:r w:rsidRPr="00021B6D">
              <w:rPr>
                <w:rFonts w:eastAsia="Calibri"/>
                <w:b/>
                <w:sz w:val="22"/>
                <w:szCs w:val="22"/>
                <w:vertAlign w:val="superscript"/>
              </w:rPr>
              <w:t>1</w:t>
            </w:r>
            <w:r w:rsidRPr="00021B6D">
              <w:rPr>
                <w:rFonts w:eastAsia="Calibri"/>
                <w:b/>
                <w:sz w:val="22"/>
                <w:szCs w:val="22"/>
              </w:rPr>
              <w:t>:</w:t>
            </w:r>
          </w:p>
        </w:tc>
        <w:tc>
          <w:tcPr>
            <w:tcW w:w="2268" w:type="dxa"/>
            <w:shd w:val="clear" w:color="auto" w:fill="auto"/>
            <w:vAlign w:val="center"/>
          </w:tcPr>
          <w:p w:rsidR="00461C4D" w:rsidRPr="00461C4D" w:rsidRDefault="00461C4D" w:rsidP="00461C4D">
            <w:pPr>
              <w:jc w:val="right"/>
              <w:rPr>
                <w:rFonts w:ascii="Arial" w:hAnsi="Arial" w:cs="Arial"/>
                <w:b/>
                <w:bCs/>
                <w:szCs w:val="24"/>
              </w:rPr>
            </w:pPr>
            <w:r w:rsidRPr="00461C4D">
              <w:rPr>
                <w:rFonts w:ascii="Arial" w:hAnsi="Arial" w:cs="Arial"/>
                <w:b/>
                <w:bCs/>
                <w:szCs w:val="24"/>
              </w:rPr>
              <w:t xml:space="preserve">             (125,893)</w:t>
            </w:r>
          </w:p>
        </w:tc>
      </w:tr>
      <w:tr w:rsidR="00461C4D" w:rsidRPr="00021B6D" w:rsidTr="00461C4D">
        <w:tc>
          <w:tcPr>
            <w:tcW w:w="4394" w:type="dxa"/>
            <w:shd w:val="clear" w:color="auto" w:fill="auto"/>
            <w:vAlign w:val="center"/>
          </w:tcPr>
          <w:p w:rsidR="00461C4D" w:rsidRPr="00B13900" w:rsidRDefault="00461C4D" w:rsidP="00461C4D">
            <w:pPr>
              <w:spacing w:after="160" w:line="259" w:lineRule="auto"/>
              <w:rPr>
                <w:rFonts w:ascii="Arial" w:eastAsia="Calibri" w:hAnsi="Arial" w:cs="Arial"/>
                <w:b/>
                <w:sz w:val="22"/>
                <w:szCs w:val="24"/>
              </w:rPr>
            </w:pPr>
            <w:r w:rsidRPr="00021B6D">
              <w:rPr>
                <w:rFonts w:ascii="Arial" w:eastAsia="Calibri" w:hAnsi="Arial" w:cs="Arial"/>
                <w:b/>
                <w:sz w:val="22"/>
                <w:szCs w:val="24"/>
              </w:rPr>
              <w:t>Expenditure</w:t>
            </w:r>
          </w:p>
        </w:tc>
        <w:tc>
          <w:tcPr>
            <w:tcW w:w="2268" w:type="dxa"/>
            <w:shd w:val="clear" w:color="auto" w:fill="auto"/>
            <w:vAlign w:val="center"/>
          </w:tcPr>
          <w:p w:rsidR="00461C4D" w:rsidRPr="00461C4D" w:rsidRDefault="00461C4D" w:rsidP="00461C4D">
            <w:pPr>
              <w:spacing w:after="160" w:line="259" w:lineRule="auto"/>
              <w:jc w:val="right"/>
              <w:rPr>
                <w:rFonts w:ascii="Arial" w:eastAsia="Calibri" w:hAnsi="Arial" w:cs="Arial"/>
                <w:szCs w:val="24"/>
              </w:rPr>
            </w:pPr>
          </w:p>
        </w:tc>
      </w:tr>
      <w:tr w:rsidR="00461C4D" w:rsidRPr="00021B6D" w:rsidTr="00461C4D">
        <w:tc>
          <w:tcPr>
            <w:tcW w:w="4394" w:type="dxa"/>
            <w:shd w:val="clear" w:color="auto" w:fill="auto"/>
            <w:vAlign w:val="center"/>
          </w:tcPr>
          <w:p w:rsidR="00461C4D" w:rsidRPr="00021B6D" w:rsidRDefault="00461C4D" w:rsidP="00461C4D">
            <w:pPr>
              <w:spacing w:after="160" w:line="259" w:lineRule="auto"/>
              <w:rPr>
                <w:rFonts w:ascii="Arial" w:eastAsia="Calibri" w:hAnsi="Arial" w:cs="Arial"/>
                <w:sz w:val="22"/>
                <w:szCs w:val="24"/>
              </w:rPr>
            </w:pPr>
            <w:r w:rsidRPr="00B13900">
              <w:rPr>
                <w:rFonts w:ascii="Arial" w:eastAsia="Calibri" w:hAnsi="Arial" w:cs="Arial"/>
                <w:szCs w:val="24"/>
              </w:rPr>
              <w:t>Direct Staff Costs</w:t>
            </w:r>
            <w:r w:rsidRPr="00B13900">
              <w:rPr>
                <w:rFonts w:ascii="Arial" w:eastAsia="Calibri" w:hAnsi="Arial" w:cs="Arial"/>
                <w:szCs w:val="24"/>
                <w:vertAlign w:val="superscript"/>
              </w:rPr>
              <w:t>2</w:t>
            </w:r>
            <w:r w:rsidRPr="00021B6D">
              <w:rPr>
                <w:rFonts w:ascii="Arial" w:eastAsia="Calibri" w:hAnsi="Arial" w:cs="Arial"/>
                <w:sz w:val="22"/>
                <w:szCs w:val="24"/>
              </w:rPr>
              <w:t xml:space="preserve"> </w:t>
            </w:r>
          </w:p>
        </w:tc>
        <w:tc>
          <w:tcPr>
            <w:tcW w:w="2268" w:type="dxa"/>
            <w:shd w:val="clear" w:color="auto" w:fill="auto"/>
            <w:vAlign w:val="center"/>
          </w:tcPr>
          <w:p w:rsidR="00461C4D" w:rsidRPr="00461C4D" w:rsidRDefault="00461C4D" w:rsidP="00461C4D">
            <w:pPr>
              <w:jc w:val="right"/>
              <w:rPr>
                <w:rFonts w:ascii="Arial" w:hAnsi="Arial" w:cs="Arial"/>
                <w:szCs w:val="24"/>
              </w:rPr>
            </w:pPr>
            <w:r w:rsidRPr="00461C4D">
              <w:rPr>
                <w:rFonts w:ascii="Arial" w:hAnsi="Arial" w:cs="Arial"/>
                <w:szCs w:val="24"/>
              </w:rPr>
              <w:t xml:space="preserve">                 79,582 </w:t>
            </w:r>
          </w:p>
        </w:tc>
      </w:tr>
      <w:tr w:rsidR="00461C4D" w:rsidRPr="00021B6D" w:rsidTr="00461C4D">
        <w:tc>
          <w:tcPr>
            <w:tcW w:w="4394" w:type="dxa"/>
            <w:shd w:val="clear" w:color="auto" w:fill="auto"/>
            <w:vAlign w:val="center"/>
          </w:tcPr>
          <w:p w:rsidR="00461C4D" w:rsidRPr="00021B6D" w:rsidRDefault="00461C4D" w:rsidP="00461C4D">
            <w:pPr>
              <w:spacing w:after="160" w:line="259" w:lineRule="auto"/>
              <w:rPr>
                <w:rFonts w:ascii="Arial" w:eastAsia="Calibri" w:hAnsi="Arial" w:cs="Arial"/>
                <w:sz w:val="22"/>
                <w:szCs w:val="24"/>
              </w:rPr>
            </w:pPr>
            <w:r w:rsidRPr="00B13900">
              <w:rPr>
                <w:rFonts w:ascii="Arial" w:eastAsia="Calibri" w:hAnsi="Arial" w:cs="Arial"/>
                <w:szCs w:val="24"/>
              </w:rPr>
              <w:t>Other Direct Costs</w:t>
            </w:r>
            <w:r w:rsidRPr="00B13900">
              <w:rPr>
                <w:rFonts w:ascii="Arial" w:eastAsia="Calibri" w:hAnsi="Arial" w:cs="Arial"/>
                <w:szCs w:val="24"/>
                <w:vertAlign w:val="superscript"/>
              </w:rPr>
              <w:t>3</w:t>
            </w:r>
          </w:p>
        </w:tc>
        <w:tc>
          <w:tcPr>
            <w:tcW w:w="2268" w:type="dxa"/>
            <w:shd w:val="clear" w:color="auto" w:fill="auto"/>
            <w:vAlign w:val="center"/>
          </w:tcPr>
          <w:p w:rsidR="00461C4D" w:rsidRPr="00461C4D" w:rsidRDefault="00461C4D" w:rsidP="00461C4D">
            <w:pPr>
              <w:jc w:val="right"/>
              <w:rPr>
                <w:rFonts w:ascii="Arial" w:hAnsi="Arial" w:cs="Arial"/>
                <w:szCs w:val="24"/>
              </w:rPr>
            </w:pPr>
            <w:r w:rsidRPr="00461C4D">
              <w:rPr>
                <w:rFonts w:ascii="Arial" w:hAnsi="Arial" w:cs="Arial"/>
                <w:szCs w:val="24"/>
              </w:rPr>
              <w:t xml:space="preserve">                    6,932 </w:t>
            </w:r>
          </w:p>
        </w:tc>
      </w:tr>
      <w:tr w:rsidR="00461C4D" w:rsidRPr="00021B6D" w:rsidTr="00461C4D">
        <w:trPr>
          <w:trHeight w:val="280"/>
        </w:trPr>
        <w:tc>
          <w:tcPr>
            <w:tcW w:w="4394" w:type="dxa"/>
            <w:shd w:val="clear" w:color="auto" w:fill="auto"/>
            <w:vAlign w:val="center"/>
          </w:tcPr>
          <w:p w:rsidR="00461C4D" w:rsidRPr="00021B6D" w:rsidRDefault="00461C4D" w:rsidP="00461C4D">
            <w:pPr>
              <w:spacing w:after="160" w:line="259" w:lineRule="auto"/>
              <w:rPr>
                <w:rFonts w:ascii="Arial" w:eastAsia="Calibri" w:hAnsi="Arial" w:cs="Arial"/>
                <w:sz w:val="22"/>
                <w:szCs w:val="24"/>
              </w:rPr>
            </w:pPr>
            <w:r w:rsidRPr="00B13900">
              <w:rPr>
                <w:rFonts w:ascii="Arial" w:eastAsia="Calibri" w:hAnsi="Arial" w:cs="Arial"/>
                <w:szCs w:val="24"/>
              </w:rPr>
              <w:t>Indirect Costs</w:t>
            </w:r>
            <w:r w:rsidRPr="00B13900">
              <w:rPr>
                <w:rFonts w:ascii="Arial" w:eastAsia="Calibri" w:hAnsi="Arial" w:cs="Arial"/>
                <w:szCs w:val="24"/>
                <w:vertAlign w:val="superscript"/>
              </w:rPr>
              <w:t>4</w:t>
            </w:r>
            <w:r w:rsidRPr="00B13900">
              <w:rPr>
                <w:rFonts w:ascii="Arial" w:eastAsia="Calibri" w:hAnsi="Arial" w:cs="Arial"/>
                <w:szCs w:val="24"/>
              </w:rPr>
              <w:t>:</w:t>
            </w:r>
          </w:p>
        </w:tc>
        <w:tc>
          <w:tcPr>
            <w:tcW w:w="2268" w:type="dxa"/>
            <w:shd w:val="clear" w:color="auto" w:fill="auto"/>
            <w:vAlign w:val="center"/>
          </w:tcPr>
          <w:p w:rsidR="00461C4D" w:rsidRPr="00461C4D" w:rsidRDefault="00461C4D" w:rsidP="00461C4D">
            <w:pPr>
              <w:jc w:val="right"/>
              <w:rPr>
                <w:rFonts w:ascii="Arial" w:hAnsi="Arial" w:cs="Arial"/>
                <w:szCs w:val="24"/>
              </w:rPr>
            </w:pPr>
            <w:r w:rsidRPr="00461C4D">
              <w:rPr>
                <w:rFonts w:ascii="Arial" w:hAnsi="Arial" w:cs="Arial"/>
                <w:szCs w:val="24"/>
              </w:rPr>
              <w:t xml:space="preserve">                 26,446 </w:t>
            </w:r>
          </w:p>
        </w:tc>
      </w:tr>
      <w:tr w:rsidR="00461C4D" w:rsidRPr="00021B6D" w:rsidTr="00461C4D">
        <w:tc>
          <w:tcPr>
            <w:tcW w:w="4394" w:type="dxa"/>
            <w:shd w:val="clear" w:color="auto" w:fill="auto"/>
            <w:vAlign w:val="center"/>
          </w:tcPr>
          <w:p w:rsidR="00461C4D" w:rsidRPr="00021B6D" w:rsidRDefault="00461C4D" w:rsidP="00461C4D">
            <w:pPr>
              <w:spacing w:after="160" w:line="259" w:lineRule="auto"/>
              <w:rPr>
                <w:rFonts w:ascii="Arial" w:eastAsia="Calibri" w:hAnsi="Arial" w:cs="Arial"/>
                <w:sz w:val="22"/>
                <w:szCs w:val="24"/>
              </w:rPr>
            </w:pPr>
            <w:r w:rsidRPr="00021B6D">
              <w:rPr>
                <w:rFonts w:ascii="Arial" w:eastAsia="Calibri" w:hAnsi="Arial" w:cs="Arial"/>
                <w:sz w:val="22"/>
                <w:szCs w:val="24"/>
              </w:rPr>
              <w:t>Total Expenditure</w:t>
            </w:r>
          </w:p>
        </w:tc>
        <w:tc>
          <w:tcPr>
            <w:tcW w:w="2268" w:type="dxa"/>
            <w:shd w:val="clear" w:color="auto" w:fill="auto"/>
            <w:vAlign w:val="center"/>
          </w:tcPr>
          <w:p w:rsidR="00461C4D" w:rsidRPr="00461C4D" w:rsidRDefault="00461C4D" w:rsidP="00461C4D">
            <w:pPr>
              <w:jc w:val="right"/>
              <w:rPr>
                <w:rFonts w:ascii="Arial" w:hAnsi="Arial" w:cs="Arial"/>
                <w:b/>
                <w:bCs/>
                <w:szCs w:val="24"/>
              </w:rPr>
            </w:pPr>
            <w:r w:rsidRPr="00461C4D">
              <w:rPr>
                <w:rFonts w:ascii="Arial" w:hAnsi="Arial" w:cs="Arial"/>
                <w:b/>
                <w:bCs/>
                <w:szCs w:val="24"/>
              </w:rPr>
              <w:t xml:space="preserve">               112,960 </w:t>
            </w:r>
          </w:p>
        </w:tc>
      </w:tr>
      <w:tr w:rsidR="00461C4D" w:rsidRPr="00021B6D" w:rsidTr="00461C4D">
        <w:tc>
          <w:tcPr>
            <w:tcW w:w="4394" w:type="dxa"/>
            <w:shd w:val="clear" w:color="auto" w:fill="auto"/>
            <w:vAlign w:val="center"/>
          </w:tcPr>
          <w:p w:rsidR="00461C4D" w:rsidRPr="00B13900" w:rsidRDefault="00461C4D" w:rsidP="00461C4D">
            <w:pPr>
              <w:spacing w:after="160" w:line="259" w:lineRule="auto"/>
              <w:rPr>
                <w:rFonts w:ascii="Arial" w:eastAsia="Calibri" w:hAnsi="Arial" w:cs="Arial"/>
                <w:b/>
                <w:sz w:val="22"/>
                <w:szCs w:val="24"/>
              </w:rPr>
            </w:pPr>
            <w:r w:rsidRPr="00021B6D">
              <w:rPr>
                <w:rFonts w:ascii="Arial" w:eastAsia="Calibri" w:hAnsi="Arial" w:cs="Arial"/>
                <w:b/>
                <w:sz w:val="22"/>
                <w:szCs w:val="24"/>
              </w:rPr>
              <w:t>Net Income</w:t>
            </w:r>
          </w:p>
        </w:tc>
        <w:tc>
          <w:tcPr>
            <w:tcW w:w="2268" w:type="dxa"/>
            <w:shd w:val="clear" w:color="auto" w:fill="auto"/>
            <w:vAlign w:val="center"/>
          </w:tcPr>
          <w:p w:rsidR="00461C4D" w:rsidRPr="00461C4D" w:rsidRDefault="00461C4D" w:rsidP="00461C4D">
            <w:pPr>
              <w:jc w:val="right"/>
              <w:rPr>
                <w:rFonts w:ascii="Arial" w:hAnsi="Arial" w:cs="Arial"/>
                <w:b/>
                <w:bCs/>
                <w:szCs w:val="24"/>
              </w:rPr>
            </w:pPr>
            <w:r w:rsidRPr="00461C4D">
              <w:rPr>
                <w:rFonts w:ascii="Arial" w:hAnsi="Arial" w:cs="Arial"/>
                <w:b/>
                <w:bCs/>
                <w:szCs w:val="24"/>
              </w:rPr>
              <w:t xml:space="preserve">                (12,933)</w:t>
            </w:r>
          </w:p>
        </w:tc>
      </w:tr>
    </w:tbl>
    <w:p w:rsidR="00461C4D" w:rsidRPr="00D04CAB" w:rsidRDefault="00461C4D" w:rsidP="00461C4D">
      <w:pPr>
        <w:spacing w:after="160" w:line="259" w:lineRule="auto"/>
        <w:rPr>
          <w:rFonts w:ascii="Arial" w:eastAsia="Calibri" w:hAnsi="Arial" w:cs="Arial"/>
          <w:szCs w:val="24"/>
        </w:rPr>
      </w:pPr>
    </w:p>
    <w:p w:rsidR="00461C4D" w:rsidRPr="00D04CAB" w:rsidRDefault="00461C4D" w:rsidP="00461C4D">
      <w:pPr>
        <w:spacing w:after="160" w:line="259" w:lineRule="auto"/>
        <w:rPr>
          <w:rFonts w:ascii="Arial" w:eastAsia="Calibri" w:hAnsi="Arial" w:cs="Arial"/>
          <w:b/>
          <w:szCs w:val="24"/>
          <w:u w:val="single"/>
        </w:rPr>
      </w:pPr>
      <w:r w:rsidRPr="00D04CAB">
        <w:rPr>
          <w:rFonts w:ascii="Arial" w:eastAsia="Calibri" w:hAnsi="Arial" w:cs="Arial"/>
          <w:b/>
          <w:szCs w:val="24"/>
          <w:u w:val="single"/>
        </w:rPr>
        <w:t>Notes:</w:t>
      </w:r>
    </w:p>
    <w:p w:rsidR="00461C4D" w:rsidRPr="00D04CAB" w:rsidRDefault="00461C4D" w:rsidP="00461C4D">
      <w:pPr>
        <w:numPr>
          <w:ilvl w:val="0"/>
          <w:numId w:val="1"/>
        </w:numPr>
        <w:spacing w:after="160" w:line="259" w:lineRule="auto"/>
        <w:contextualSpacing/>
        <w:rPr>
          <w:rFonts w:ascii="Arial" w:eastAsia="Calibri" w:hAnsi="Arial" w:cs="Arial"/>
          <w:szCs w:val="24"/>
        </w:rPr>
      </w:pPr>
      <w:r w:rsidRPr="00D04CAB">
        <w:rPr>
          <w:rFonts w:ascii="Arial" w:eastAsia="Calibri" w:hAnsi="Arial" w:cs="Arial"/>
          <w:szCs w:val="24"/>
        </w:rPr>
        <w:t>Denotes income from applications and annual fees received under the Licensing (Scotland) Act 2005</w:t>
      </w:r>
    </w:p>
    <w:p w:rsidR="00461C4D" w:rsidRPr="00D04CAB" w:rsidRDefault="00461C4D" w:rsidP="00461C4D">
      <w:pPr>
        <w:numPr>
          <w:ilvl w:val="0"/>
          <w:numId w:val="1"/>
        </w:numPr>
        <w:spacing w:after="160" w:line="259" w:lineRule="auto"/>
        <w:contextualSpacing/>
        <w:rPr>
          <w:rFonts w:ascii="Arial" w:eastAsia="Calibri" w:hAnsi="Arial" w:cs="Arial"/>
          <w:szCs w:val="24"/>
        </w:rPr>
      </w:pPr>
      <w:r w:rsidRPr="00D04CAB">
        <w:rPr>
          <w:rFonts w:ascii="Arial" w:eastAsia="Calibri" w:hAnsi="Arial" w:cs="Arial"/>
          <w:szCs w:val="24"/>
        </w:rPr>
        <w:t xml:space="preserve">Denotes salary, superannuation, national insurance and pension costs associated with the </w:t>
      </w:r>
      <w:r>
        <w:rPr>
          <w:rFonts w:ascii="Arial" w:eastAsia="Calibri" w:hAnsi="Arial" w:cs="Arial"/>
          <w:szCs w:val="24"/>
        </w:rPr>
        <w:t>Clerk, the Licensing Standards Officer a</w:t>
      </w:r>
      <w:r w:rsidRPr="00D04CAB">
        <w:rPr>
          <w:rFonts w:ascii="Arial" w:eastAsia="Calibri" w:hAnsi="Arial" w:cs="Arial"/>
          <w:szCs w:val="24"/>
        </w:rPr>
        <w:t>nd other Council staff responsible for administrative support under paragraph 8 of Schedule 1 to the Licensing (Scotland) Act 2005.</w:t>
      </w:r>
    </w:p>
    <w:p w:rsidR="00461C4D" w:rsidRPr="00D04CAB" w:rsidRDefault="00461C4D" w:rsidP="00461C4D">
      <w:pPr>
        <w:numPr>
          <w:ilvl w:val="0"/>
          <w:numId w:val="1"/>
        </w:numPr>
        <w:spacing w:after="160" w:line="259" w:lineRule="auto"/>
        <w:contextualSpacing/>
        <w:rPr>
          <w:rFonts w:ascii="Arial" w:eastAsia="Calibri" w:hAnsi="Arial" w:cs="Arial"/>
          <w:szCs w:val="24"/>
        </w:rPr>
      </w:pPr>
      <w:r w:rsidRPr="00D04CAB">
        <w:rPr>
          <w:rFonts w:ascii="Arial" w:eastAsia="Calibri" w:hAnsi="Arial" w:cs="Arial"/>
          <w:szCs w:val="24"/>
        </w:rPr>
        <w:t>Denotes direct costs associated with the exercise of the Licensing Board function such as tra</w:t>
      </w:r>
      <w:r>
        <w:rPr>
          <w:rFonts w:ascii="Arial" w:eastAsia="Calibri" w:hAnsi="Arial" w:cs="Arial"/>
          <w:szCs w:val="24"/>
        </w:rPr>
        <w:t>ining</w:t>
      </w:r>
      <w:r w:rsidRPr="00D04CAB">
        <w:rPr>
          <w:rFonts w:ascii="Arial" w:eastAsia="Calibri" w:hAnsi="Arial" w:cs="Arial"/>
          <w:szCs w:val="24"/>
        </w:rPr>
        <w:t>, stationery, supplies and services etc.</w:t>
      </w:r>
    </w:p>
    <w:p w:rsidR="00461C4D" w:rsidRPr="00D04CAB" w:rsidRDefault="00461C4D" w:rsidP="00461C4D">
      <w:pPr>
        <w:numPr>
          <w:ilvl w:val="0"/>
          <w:numId w:val="1"/>
        </w:numPr>
        <w:spacing w:after="160" w:line="259" w:lineRule="auto"/>
        <w:contextualSpacing/>
        <w:jc w:val="both"/>
        <w:rPr>
          <w:rFonts w:ascii="Arial" w:hAnsi="Arial" w:cs="Arial"/>
          <w:b/>
          <w:szCs w:val="24"/>
          <w:u w:val="single"/>
        </w:rPr>
      </w:pPr>
      <w:r w:rsidRPr="00D04CAB">
        <w:rPr>
          <w:rFonts w:ascii="Arial" w:eastAsia="Calibri" w:hAnsi="Arial" w:cs="Arial"/>
          <w:szCs w:val="24"/>
        </w:rPr>
        <w:t>Denotes the portion of central administrative costs such as accommodation, ICT, facility management etc. that are allocated to the Licensing Board</w:t>
      </w:r>
      <w:r w:rsidRPr="00460A94">
        <w:rPr>
          <w:rFonts w:ascii="Arial" w:eastAsia="Calibri" w:hAnsi="Arial" w:cs="Arial"/>
          <w:szCs w:val="24"/>
        </w:rPr>
        <w:t>.</w:t>
      </w:r>
    </w:p>
    <w:p w:rsidR="00734745" w:rsidRDefault="00401AEE"/>
    <w:sectPr w:rsidR="00734745">
      <w:headerReference w:type="default" r:id="rId10"/>
      <w:pgSz w:w="11909" w:h="16834"/>
      <w:pgMar w:top="864" w:right="1440" w:bottom="864" w:left="1440" w:header="706" w:footer="706" w:gutter="0"/>
      <w:paperSrc w:first="15" w:other="15"/>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F84" w:rsidRPr="0010186D" w:rsidRDefault="00401AEE">
    <w:pPr>
      <w:pStyle w:val="Header"/>
      <w:tabs>
        <w:tab w:val="left" w:pos="7290"/>
      </w:tabs>
      <w:rPr>
        <w:rFonts w:ascii="Arial" w:hAnsi="Arial" w:cs="Arial"/>
      </w:rPr>
    </w:pPr>
    <w:r>
      <w:tab/>
    </w:r>
    <w:r>
      <w:tab/>
    </w:r>
    <w:r w:rsidRPr="0010186D">
      <w:rPr>
        <w:rFonts w:ascii="Arial" w:hAnsi="Arial" w:cs="Arial"/>
      </w:rPr>
      <w:t>ITEM:</w:t>
    </w:r>
    <w:r>
      <w:rPr>
        <w:rFonts w:ascii="Arial" w:hAnsi="Arial" w:cs="Arial"/>
      </w:rPr>
      <w:t xml:space="preserve"> 6</w:t>
    </w:r>
  </w:p>
  <w:p w:rsidR="00EE1F84" w:rsidRPr="0010186D" w:rsidRDefault="00401AEE">
    <w:pPr>
      <w:pStyle w:val="Header"/>
      <w:tabs>
        <w:tab w:val="left" w:pos="7290"/>
      </w:tabs>
      <w:rPr>
        <w:rFonts w:ascii="Arial" w:hAnsi="Arial" w:cs="Arial"/>
      </w:rPr>
    </w:pPr>
  </w:p>
  <w:p w:rsidR="00EE1F84" w:rsidRPr="0010186D" w:rsidRDefault="00401AEE">
    <w:pPr>
      <w:pStyle w:val="Header"/>
      <w:tabs>
        <w:tab w:val="left" w:pos="7290"/>
      </w:tabs>
      <w:rPr>
        <w:rFonts w:ascii="Arial" w:hAnsi="Arial" w:cs="Arial"/>
      </w:rPr>
    </w:pPr>
    <w:r w:rsidRPr="0010186D">
      <w:rPr>
        <w:rFonts w:ascii="Arial" w:hAnsi="Arial" w:cs="Arial"/>
      </w:rPr>
      <w:tab/>
    </w:r>
    <w:r w:rsidRPr="0010186D">
      <w:rPr>
        <w:rFonts w:ascii="Arial" w:hAnsi="Arial" w:cs="Arial"/>
      </w:rPr>
      <w:tab/>
      <w:t xml:space="preserve">PAGE: </w:t>
    </w:r>
    <w:r w:rsidRPr="0010186D">
      <w:rPr>
        <w:rFonts w:ascii="Arial" w:hAnsi="Arial" w:cs="Arial"/>
      </w:rPr>
      <w:fldChar w:fldCharType="begin"/>
    </w:r>
    <w:r w:rsidRPr="0010186D">
      <w:rPr>
        <w:rFonts w:ascii="Arial" w:hAnsi="Arial" w:cs="Arial"/>
      </w:rPr>
      <w:instrText>P</w:instrText>
    </w:r>
    <w:r w:rsidRPr="0010186D">
      <w:rPr>
        <w:rFonts w:ascii="Arial" w:hAnsi="Arial" w:cs="Arial"/>
      </w:rPr>
      <w:instrText>AGE</w:instrText>
    </w:r>
    <w:r w:rsidRPr="0010186D">
      <w:rPr>
        <w:rFonts w:ascii="Arial" w:hAnsi="Arial" w:cs="Arial"/>
      </w:rPr>
      <w:fldChar w:fldCharType="separate"/>
    </w:r>
    <w:r>
      <w:rPr>
        <w:rFonts w:ascii="Arial" w:hAnsi="Arial" w:cs="Arial"/>
        <w:noProof/>
      </w:rPr>
      <w:t>9</w:t>
    </w:r>
    <w:r w:rsidRPr="0010186D">
      <w:rPr>
        <w:rFonts w:ascii="Arial" w:hAnsi="Arial" w:cs="Arial"/>
      </w:rPr>
      <w:fldChar w:fldCharType="end"/>
    </w:r>
  </w:p>
  <w:p w:rsidR="00EE1F84" w:rsidRDefault="00401AEE">
    <w:pPr>
      <w:pStyle w:val="Header"/>
      <w:tabs>
        <w:tab w:val="left" w:pos="72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265A5"/>
    <w:multiLevelType w:val="hybridMultilevel"/>
    <w:tmpl w:val="C92C3580"/>
    <w:lvl w:ilvl="0" w:tplc="F5C4F216">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C4D"/>
    <w:rsid w:val="00003063"/>
    <w:rsid w:val="000116E0"/>
    <w:rsid w:val="00012237"/>
    <w:rsid w:val="000143FD"/>
    <w:rsid w:val="00025022"/>
    <w:rsid w:val="00031C79"/>
    <w:rsid w:val="0004498F"/>
    <w:rsid w:val="00066C38"/>
    <w:rsid w:val="00067524"/>
    <w:rsid w:val="000914EA"/>
    <w:rsid w:val="00097F57"/>
    <w:rsid w:val="000E050D"/>
    <w:rsid w:val="000F3A2E"/>
    <w:rsid w:val="00123233"/>
    <w:rsid w:val="00126F17"/>
    <w:rsid w:val="00127CC3"/>
    <w:rsid w:val="00141700"/>
    <w:rsid w:val="00144D32"/>
    <w:rsid w:val="001465A2"/>
    <w:rsid w:val="00152B20"/>
    <w:rsid w:val="00154871"/>
    <w:rsid w:val="00155E3A"/>
    <w:rsid w:val="00163D64"/>
    <w:rsid w:val="0018413A"/>
    <w:rsid w:val="00197374"/>
    <w:rsid w:val="001A3C49"/>
    <w:rsid w:val="001B246F"/>
    <w:rsid w:val="001D1BF4"/>
    <w:rsid w:val="001D30AA"/>
    <w:rsid w:val="001F1039"/>
    <w:rsid w:val="001F6DD1"/>
    <w:rsid w:val="002115A3"/>
    <w:rsid w:val="00242B55"/>
    <w:rsid w:val="0025267B"/>
    <w:rsid w:val="0027031B"/>
    <w:rsid w:val="00274A0B"/>
    <w:rsid w:val="002773C2"/>
    <w:rsid w:val="002837AC"/>
    <w:rsid w:val="00284C68"/>
    <w:rsid w:val="002C29CA"/>
    <w:rsid w:val="002F20A6"/>
    <w:rsid w:val="002F3B44"/>
    <w:rsid w:val="002F74ED"/>
    <w:rsid w:val="00311B10"/>
    <w:rsid w:val="00326A20"/>
    <w:rsid w:val="0032704D"/>
    <w:rsid w:val="00375965"/>
    <w:rsid w:val="003867B5"/>
    <w:rsid w:val="0039641C"/>
    <w:rsid w:val="003964AC"/>
    <w:rsid w:val="003C5679"/>
    <w:rsid w:val="003F1222"/>
    <w:rsid w:val="003F37BC"/>
    <w:rsid w:val="0040015E"/>
    <w:rsid w:val="004475E5"/>
    <w:rsid w:val="00461C4D"/>
    <w:rsid w:val="00463DB5"/>
    <w:rsid w:val="00474C1F"/>
    <w:rsid w:val="004B0111"/>
    <w:rsid w:val="004B2EAE"/>
    <w:rsid w:val="004B51F1"/>
    <w:rsid w:val="004C1365"/>
    <w:rsid w:val="004D6F96"/>
    <w:rsid w:val="004E3509"/>
    <w:rsid w:val="004F7219"/>
    <w:rsid w:val="00515BF1"/>
    <w:rsid w:val="00516B6D"/>
    <w:rsid w:val="00520E13"/>
    <w:rsid w:val="00521572"/>
    <w:rsid w:val="0053675C"/>
    <w:rsid w:val="00572FCB"/>
    <w:rsid w:val="005746D4"/>
    <w:rsid w:val="00576BEF"/>
    <w:rsid w:val="00582730"/>
    <w:rsid w:val="005A2B06"/>
    <w:rsid w:val="005A640D"/>
    <w:rsid w:val="005C56D9"/>
    <w:rsid w:val="005C5BAD"/>
    <w:rsid w:val="005D2367"/>
    <w:rsid w:val="00633E4C"/>
    <w:rsid w:val="00660B42"/>
    <w:rsid w:val="00672BA7"/>
    <w:rsid w:val="0068612C"/>
    <w:rsid w:val="006969C2"/>
    <w:rsid w:val="006B1A50"/>
    <w:rsid w:val="006B618D"/>
    <w:rsid w:val="006C1190"/>
    <w:rsid w:val="006D2DE7"/>
    <w:rsid w:val="006D4493"/>
    <w:rsid w:val="00705628"/>
    <w:rsid w:val="007113DD"/>
    <w:rsid w:val="007273C9"/>
    <w:rsid w:val="00733F80"/>
    <w:rsid w:val="00734317"/>
    <w:rsid w:val="007472F4"/>
    <w:rsid w:val="00747BF8"/>
    <w:rsid w:val="00752AEA"/>
    <w:rsid w:val="007A293B"/>
    <w:rsid w:val="007B3A6C"/>
    <w:rsid w:val="007C1538"/>
    <w:rsid w:val="007E149D"/>
    <w:rsid w:val="007E6F48"/>
    <w:rsid w:val="007F3878"/>
    <w:rsid w:val="007F6531"/>
    <w:rsid w:val="00814852"/>
    <w:rsid w:val="00820F92"/>
    <w:rsid w:val="008240BD"/>
    <w:rsid w:val="008249C5"/>
    <w:rsid w:val="00855B88"/>
    <w:rsid w:val="00885B78"/>
    <w:rsid w:val="008A23AA"/>
    <w:rsid w:val="008B0E2D"/>
    <w:rsid w:val="008B5027"/>
    <w:rsid w:val="008D1CD0"/>
    <w:rsid w:val="008E6146"/>
    <w:rsid w:val="008F7AAC"/>
    <w:rsid w:val="008F7CB9"/>
    <w:rsid w:val="00905D38"/>
    <w:rsid w:val="00907F69"/>
    <w:rsid w:val="00921542"/>
    <w:rsid w:val="009344DF"/>
    <w:rsid w:val="00941D34"/>
    <w:rsid w:val="00947761"/>
    <w:rsid w:val="009606BC"/>
    <w:rsid w:val="00973AAD"/>
    <w:rsid w:val="009A1E6A"/>
    <w:rsid w:val="009A2B7B"/>
    <w:rsid w:val="009C268D"/>
    <w:rsid w:val="009D2CE3"/>
    <w:rsid w:val="009E7388"/>
    <w:rsid w:val="00A03496"/>
    <w:rsid w:val="00A1786F"/>
    <w:rsid w:val="00A30A56"/>
    <w:rsid w:val="00A35E97"/>
    <w:rsid w:val="00A443CF"/>
    <w:rsid w:val="00A47E7F"/>
    <w:rsid w:val="00A509E5"/>
    <w:rsid w:val="00A55580"/>
    <w:rsid w:val="00AA585F"/>
    <w:rsid w:val="00AA67FC"/>
    <w:rsid w:val="00AF32C2"/>
    <w:rsid w:val="00AF3616"/>
    <w:rsid w:val="00AF400D"/>
    <w:rsid w:val="00B02D00"/>
    <w:rsid w:val="00B03AA9"/>
    <w:rsid w:val="00B476DE"/>
    <w:rsid w:val="00B7295F"/>
    <w:rsid w:val="00BF3BE0"/>
    <w:rsid w:val="00C1398F"/>
    <w:rsid w:val="00C17560"/>
    <w:rsid w:val="00C308C5"/>
    <w:rsid w:val="00C33F61"/>
    <w:rsid w:val="00C36CCB"/>
    <w:rsid w:val="00C650F0"/>
    <w:rsid w:val="00C8530B"/>
    <w:rsid w:val="00CA571C"/>
    <w:rsid w:val="00CA7B8B"/>
    <w:rsid w:val="00CD2561"/>
    <w:rsid w:val="00CD3AA2"/>
    <w:rsid w:val="00CD5E2A"/>
    <w:rsid w:val="00CF5B67"/>
    <w:rsid w:val="00D25C2D"/>
    <w:rsid w:val="00D35AD3"/>
    <w:rsid w:val="00D45BE3"/>
    <w:rsid w:val="00D45D2A"/>
    <w:rsid w:val="00D60C41"/>
    <w:rsid w:val="00D66A04"/>
    <w:rsid w:val="00D94C9F"/>
    <w:rsid w:val="00DA4E22"/>
    <w:rsid w:val="00DD1421"/>
    <w:rsid w:val="00DD6D0A"/>
    <w:rsid w:val="00DE1F45"/>
    <w:rsid w:val="00E151E0"/>
    <w:rsid w:val="00E3742C"/>
    <w:rsid w:val="00E65B82"/>
    <w:rsid w:val="00E71A44"/>
    <w:rsid w:val="00EB2B64"/>
    <w:rsid w:val="00EF3A66"/>
    <w:rsid w:val="00F17172"/>
    <w:rsid w:val="00F17217"/>
    <w:rsid w:val="00F24C23"/>
    <w:rsid w:val="00F253F4"/>
    <w:rsid w:val="00F2553A"/>
    <w:rsid w:val="00F4343E"/>
    <w:rsid w:val="00F468ED"/>
    <w:rsid w:val="00F533DC"/>
    <w:rsid w:val="00F62F60"/>
    <w:rsid w:val="00F70F0F"/>
    <w:rsid w:val="00F8664B"/>
    <w:rsid w:val="00F87B14"/>
    <w:rsid w:val="00F90EF2"/>
    <w:rsid w:val="00FB19D6"/>
    <w:rsid w:val="00FB4641"/>
    <w:rsid w:val="00FB7784"/>
    <w:rsid w:val="00FE4323"/>
    <w:rsid w:val="00FE5868"/>
    <w:rsid w:val="00FE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C4D"/>
    <w:pPr>
      <w:spacing w:after="0" w:line="240" w:lineRule="auto"/>
    </w:pPr>
    <w:rPr>
      <w:rFonts w:ascii="CG Times (WN)" w:eastAsia="Times New Roman" w:hAnsi="CG Times (W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1C4D"/>
    <w:pPr>
      <w:tabs>
        <w:tab w:val="center" w:pos="4819"/>
        <w:tab w:val="right" w:pos="9071"/>
      </w:tabs>
    </w:pPr>
  </w:style>
  <w:style w:type="character" w:customStyle="1" w:styleId="HeaderChar">
    <w:name w:val="Header Char"/>
    <w:basedOn w:val="DefaultParagraphFont"/>
    <w:link w:val="Header"/>
    <w:rsid w:val="00461C4D"/>
    <w:rPr>
      <w:rFonts w:ascii="CG Times (WN)" w:eastAsia="Times New Roman" w:hAnsi="CG Times (W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C4D"/>
    <w:pPr>
      <w:spacing w:after="0" w:line="240" w:lineRule="auto"/>
    </w:pPr>
    <w:rPr>
      <w:rFonts w:ascii="CG Times (WN)" w:eastAsia="Times New Roman" w:hAnsi="CG Times (W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1C4D"/>
    <w:pPr>
      <w:tabs>
        <w:tab w:val="center" w:pos="4819"/>
        <w:tab w:val="right" w:pos="9071"/>
      </w:tabs>
    </w:pPr>
  </w:style>
  <w:style w:type="character" w:customStyle="1" w:styleId="HeaderChar">
    <w:name w:val="Header Char"/>
    <w:basedOn w:val="DefaultParagraphFont"/>
    <w:link w:val="Header"/>
    <w:rsid w:val="00461C4D"/>
    <w:rPr>
      <w:rFonts w:ascii="CG Times (WN)" w:eastAsia="Times New Roman" w:hAnsi="CG Times (W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9592">
      <w:bodyDiv w:val="1"/>
      <w:marLeft w:val="0"/>
      <w:marRight w:val="0"/>
      <w:marTop w:val="0"/>
      <w:marBottom w:val="0"/>
      <w:divBdr>
        <w:top w:val="none" w:sz="0" w:space="0" w:color="auto"/>
        <w:left w:val="none" w:sz="0" w:space="0" w:color="auto"/>
        <w:bottom w:val="none" w:sz="0" w:space="0" w:color="auto"/>
        <w:right w:val="none" w:sz="0" w:space="0" w:color="auto"/>
      </w:divBdr>
    </w:div>
    <w:div w:id="209789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 Email" ma:contentTypeID="0x010100EDBEAEBDFC1D9E4F89C580D2A1E5AA5C15020066C1807B41A99E4BB0B25F6EF353F967" ma:contentTypeVersion="47" ma:contentTypeDescription="" ma:contentTypeScope="" ma:versionID="91973e26c26d102dc1b95f8dc04f3bfd">
  <xsd:schema xmlns:xsd="http://www.w3.org/2001/XMLSchema" xmlns:xs="http://www.w3.org/2001/XMLSchema" xmlns:p="http://schemas.microsoft.com/office/2006/metadata/properties" xmlns:ns2="83dfa451-f388-440e-ac0e-1dd804241c52" xmlns:ns4="http://schemas.microsoft.com/sharepoint/v4" targetNamespace="http://schemas.microsoft.com/office/2006/metadata/properties" ma:root="true" ma:fieldsID="6119a52a35637a0b82e569749b6c4b6e" ns2:_="" ns4:_="">
    <xsd:import namespace="83dfa451-f388-440e-ac0e-1dd804241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hidden="true" ma:internalName="ClosureDate" ma:readOnly="fals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jectMatter xmlns="83dfa451-f388-440e-ac0e-1dd804241c52" xsi:nil="true"/>
    <IconOverlay xmlns="http://schemas.microsoft.com/sharepoint/v4" xsi:nil="true"/>
    <ClosureDate xmlns="83dfa451-f388-440e-ac0e-1dd804241c52" xsi:nil="true"/>
    <DocumentType xmlns="83dfa451-f388-440e-ac0e-1dd804241c52" xsi:nil="true"/>
    <CoreSystemRef xmlns="83dfa451-f388-440e-ac0e-1dd804241c52" xsi:nil="true"/>
    <SentReceived xmlns="83dfa451-f388-440e-ac0e-1dd804241c52" xsi:nil="true"/>
  </documentManagement>
</p:properties>
</file>

<file path=customXml/itemProps1.xml><?xml version="1.0" encoding="utf-8"?>
<ds:datastoreItem xmlns:ds="http://schemas.openxmlformats.org/officeDocument/2006/customXml" ds:itemID="{D0C6663B-46B6-41DC-BC38-ACE1B58CB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5DC8E-4667-49AA-AD99-343188E51F9F}">
  <ds:schemaRefs>
    <ds:schemaRef ds:uri="http://schemas.microsoft.com/sharepoint/events"/>
  </ds:schemaRefs>
</ds:datastoreItem>
</file>

<file path=customXml/itemProps3.xml><?xml version="1.0" encoding="utf-8"?>
<ds:datastoreItem xmlns:ds="http://schemas.openxmlformats.org/officeDocument/2006/customXml" ds:itemID="{21D5A72A-40E2-4FF0-8245-AAC9B5F09673}">
  <ds:schemaRefs>
    <ds:schemaRef ds:uri="http://schemas.microsoft.com/sharepoint/v3/contenttype/forms"/>
  </ds:schemaRefs>
</ds:datastoreItem>
</file>

<file path=customXml/itemProps4.xml><?xml version="1.0" encoding="utf-8"?>
<ds:datastoreItem xmlns:ds="http://schemas.openxmlformats.org/officeDocument/2006/customXml" ds:itemID="{12965DF2-CF3C-457A-A209-AF743A1EE44B}">
  <ds:schemaRefs>
    <ds:schemaRef ds:uri="http://schemas.microsoft.com/office/2006/metadata/properties"/>
    <ds:schemaRef ds:uri="http://schemas.microsoft.com/office/infopath/2007/PartnerControls"/>
    <ds:schemaRef ds:uri="83dfa451-f388-440e-ac0e-1dd804241c5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Sean.Hoath</dc:creator>
  <cp:lastModifiedBy>Sean.Hoath</cp:lastModifiedBy>
  <cp:revision>1</cp:revision>
  <dcterms:created xsi:type="dcterms:W3CDTF">2020-10-07T09:30:00Z</dcterms:created>
  <dcterms:modified xsi:type="dcterms:W3CDTF">2020-10-07T09:43:00Z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0x010100EDBEAEBDFC1D9E4F89C580D2A1E5AA5C15020066C1807B41A99E4BB0B25F6EF353F967</vt:lpwstr>
  </property>
</Properties>
</file>