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B882D" w14:textId="3FA7A2FA" w:rsidR="001B6EB1" w:rsidRDefault="0001727D" w:rsidP="001B6EB1">
      <w:pPr>
        <w:pStyle w:val="Title"/>
        <w:rPr>
          <w:caps w:val="0"/>
          <w:sz w:val="44"/>
          <w:szCs w:val="44"/>
        </w:rPr>
      </w:pPr>
      <w:r w:rsidRPr="0001727D">
        <w:rPr>
          <w:b/>
          <w:bCs/>
          <w:caps w:val="0"/>
          <w:sz w:val="44"/>
          <w:szCs w:val="44"/>
        </w:rPr>
        <w:t xml:space="preserve">An update of </w:t>
      </w:r>
      <w:r w:rsidR="0012472A" w:rsidRPr="0001727D">
        <w:rPr>
          <w:b/>
          <w:bCs/>
          <w:caps w:val="0"/>
          <w:sz w:val="44"/>
          <w:szCs w:val="44"/>
        </w:rPr>
        <w:t>Localised poverty in Moray</w:t>
      </w:r>
      <w:r w:rsidR="0012472A">
        <w:rPr>
          <w:caps w:val="0"/>
          <w:sz w:val="44"/>
          <w:szCs w:val="44"/>
        </w:rPr>
        <w:t>: Bringing together national and local data to identify poverty levels in Moray</w:t>
      </w:r>
      <w:r w:rsidR="002A091C">
        <w:rPr>
          <w:caps w:val="0"/>
          <w:sz w:val="44"/>
          <w:szCs w:val="44"/>
        </w:rPr>
        <w:t xml:space="preserve">, </w:t>
      </w:r>
      <w:r>
        <w:rPr>
          <w:caps w:val="0"/>
          <w:sz w:val="44"/>
          <w:szCs w:val="44"/>
        </w:rPr>
        <w:t xml:space="preserve">showing changes in levels from initial report in </w:t>
      </w:r>
      <w:r w:rsidR="000A03BA">
        <w:rPr>
          <w:caps w:val="0"/>
          <w:sz w:val="44"/>
          <w:szCs w:val="44"/>
        </w:rPr>
        <w:t xml:space="preserve">March </w:t>
      </w:r>
      <w:r>
        <w:rPr>
          <w:caps w:val="0"/>
          <w:sz w:val="44"/>
          <w:szCs w:val="44"/>
        </w:rPr>
        <w:t>202</w:t>
      </w:r>
      <w:r w:rsidR="000A03BA">
        <w:rPr>
          <w:caps w:val="0"/>
          <w:sz w:val="44"/>
          <w:szCs w:val="44"/>
        </w:rPr>
        <w:t>3</w:t>
      </w:r>
      <w:r>
        <w:rPr>
          <w:caps w:val="0"/>
          <w:sz w:val="44"/>
          <w:szCs w:val="44"/>
        </w:rPr>
        <w:t>.</w:t>
      </w:r>
    </w:p>
    <w:p w14:paraId="2EC6DCE1" w14:textId="77777777" w:rsidR="00792743" w:rsidRPr="00792743" w:rsidRDefault="00792743" w:rsidP="00792743"/>
    <w:p w14:paraId="49FB4C46" w14:textId="41E38DA8" w:rsidR="0038127B" w:rsidRDefault="00723BE3" w:rsidP="004C3ABC">
      <w:pPr>
        <w:pStyle w:val="Heading1"/>
        <w:ind w:left="2160" w:hanging="2160"/>
        <w:rPr>
          <w:caps w:val="0"/>
        </w:rPr>
      </w:pPr>
      <w:bookmarkStart w:id="0" w:name="_Hlk109303863"/>
      <w:r>
        <w:t xml:space="preserve">Author: </w:t>
      </w:r>
      <w:r w:rsidR="00C67D36">
        <w:rPr>
          <w:caps w:val="0"/>
        </w:rPr>
        <w:t xml:space="preserve">Iain Sneddon, Research and </w:t>
      </w:r>
      <w:r w:rsidR="00941502">
        <w:rPr>
          <w:caps w:val="0"/>
        </w:rPr>
        <w:t>I</w:t>
      </w:r>
      <w:r w:rsidR="00C67D36">
        <w:rPr>
          <w:caps w:val="0"/>
        </w:rPr>
        <w:t xml:space="preserve">nformation </w:t>
      </w:r>
      <w:r w:rsidR="00941502">
        <w:rPr>
          <w:caps w:val="0"/>
        </w:rPr>
        <w:t>O</w:t>
      </w:r>
      <w:r w:rsidR="00C67D36">
        <w:rPr>
          <w:caps w:val="0"/>
        </w:rPr>
        <w:t xml:space="preserve">fficer, </w:t>
      </w:r>
      <w:r w:rsidR="00941502">
        <w:rPr>
          <w:caps w:val="0"/>
        </w:rPr>
        <w:t>M</w:t>
      </w:r>
      <w:r w:rsidR="00C67D36">
        <w:rPr>
          <w:caps w:val="0"/>
        </w:rPr>
        <w:t xml:space="preserve">oray </w:t>
      </w:r>
      <w:r w:rsidR="00941502">
        <w:rPr>
          <w:caps w:val="0"/>
        </w:rPr>
        <w:t>C</w:t>
      </w:r>
      <w:r w:rsidR="00C67D36">
        <w:rPr>
          <w:caps w:val="0"/>
        </w:rPr>
        <w:t>ouncil</w:t>
      </w:r>
      <w:bookmarkEnd w:id="0"/>
    </w:p>
    <w:p w14:paraId="3B0B1EA9" w14:textId="26E5B75B" w:rsidR="004B507E" w:rsidRDefault="002A091C" w:rsidP="004B507E">
      <w:pPr>
        <w:pStyle w:val="Heading2"/>
      </w:pPr>
      <w:r>
        <w:t>EXECUTIVE SUMMARY</w:t>
      </w:r>
    </w:p>
    <w:p w14:paraId="7A439A42" w14:textId="597AE15A" w:rsidR="008E213B" w:rsidRDefault="002A091C" w:rsidP="002A091C">
      <w:r>
        <w:t>Poverty</w:t>
      </w:r>
      <w:r w:rsidR="004B507E">
        <w:rPr>
          <w:rStyle w:val="FootnoteReference"/>
        </w:rPr>
        <w:footnoteReference w:id="1"/>
      </w:r>
      <w:r>
        <w:t xml:space="preserve"> in Moray is rising</w:t>
      </w:r>
      <w:r w:rsidR="00DB5834">
        <w:t xml:space="preserve"> and doing so at a faster rate th</w:t>
      </w:r>
      <w:r w:rsidR="00211DCB">
        <w:t>an</w:t>
      </w:r>
      <w:r w:rsidR="00DB5834">
        <w:t xml:space="preserve"> Scotland as a whole</w:t>
      </w:r>
      <w:r w:rsidR="00B74C43">
        <w:t xml:space="preserve">. </w:t>
      </w:r>
      <w:r w:rsidR="004C745C">
        <w:t>N</w:t>
      </w:r>
      <w:r w:rsidR="0049765C">
        <w:t xml:space="preserve">ational data </w:t>
      </w:r>
      <w:r w:rsidR="00153F50">
        <w:t xml:space="preserve">(End Child Poverty, 2021/22) </w:t>
      </w:r>
      <w:r w:rsidR="004C745C">
        <w:t>for Moray</w:t>
      </w:r>
      <w:r w:rsidR="00061581">
        <w:t>,</w:t>
      </w:r>
      <w:r w:rsidR="004C745C">
        <w:t xml:space="preserve"> shows</w:t>
      </w:r>
      <w:r>
        <w:t xml:space="preserve"> the percentage of children </w:t>
      </w:r>
      <w:r w:rsidR="002947E6">
        <w:t>in poverty</w:t>
      </w:r>
      <w:r w:rsidR="00CD4D20">
        <w:t xml:space="preserve"> </w:t>
      </w:r>
      <w:r w:rsidR="004C745C">
        <w:t>increased</w:t>
      </w:r>
      <w:r w:rsidR="006B73A9" w:rsidRPr="006B73A9">
        <w:t xml:space="preserve"> </w:t>
      </w:r>
      <w:r w:rsidR="006B73A9">
        <w:t>between 2014 and 2022</w:t>
      </w:r>
      <w:r w:rsidR="004C745C">
        <w:t xml:space="preserve"> by</w:t>
      </w:r>
      <w:r>
        <w:t xml:space="preserve"> 3.2% to 24.1%. </w:t>
      </w:r>
      <w:r w:rsidR="00211DCB">
        <w:t>Over the same period</w:t>
      </w:r>
      <w:r w:rsidR="004C745C">
        <w:t>,</w:t>
      </w:r>
      <w:r w:rsidR="00211DCB">
        <w:t xml:space="preserve"> </w:t>
      </w:r>
      <w:r w:rsidR="00C574FC">
        <w:t xml:space="preserve">Scotland saw a rise of </w:t>
      </w:r>
      <w:r w:rsidR="00211DCB">
        <w:t xml:space="preserve">2.9% to 24.5%. </w:t>
      </w:r>
      <w:r w:rsidR="002947E6">
        <w:t xml:space="preserve">Only </w:t>
      </w:r>
      <w:r w:rsidR="003D4533">
        <w:t>seven</w:t>
      </w:r>
      <w:r w:rsidR="002947E6">
        <w:t xml:space="preserve"> Scottish Local Authority areas have </w:t>
      </w:r>
      <w:r w:rsidR="00070377">
        <w:t>increased at a greater rate than</w:t>
      </w:r>
      <w:r w:rsidR="002947E6">
        <w:t xml:space="preserve"> Moray</w:t>
      </w:r>
      <w:r w:rsidR="00070377">
        <w:t xml:space="preserve"> </w:t>
      </w:r>
      <w:r w:rsidR="004C745C">
        <w:t>during this time</w:t>
      </w:r>
      <w:r w:rsidR="002947E6">
        <w:t>. In the last year alone</w:t>
      </w:r>
      <w:r w:rsidR="00061581">
        <w:t xml:space="preserve"> (</w:t>
      </w:r>
      <w:r w:rsidR="009E6A3C">
        <w:t>2020/21 -</w:t>
      </w:r>
      <w:r w:rsidR="00061581">
        <w:t>2021/22)</w:t>
      </w:r>
      <w:r w:rsidR="002947E6">
        <w:t xml:space="preserve">, Moray has witnessed a 2.8% rise. </w:t>
      </w:r>
      <w:r w:rsidR="00C574FC">
        <w:t xml:space="preserve">In terms of ranking </w:t>
      </w:r>
      <w:r w:rsidR="00B74C43">
        <w:t xml:space="preserve">nationally </w:t>
      </w:r>
      <w:r w:rsidR="00C574FC">
        <w:t xml:space="preserve">against other authorities, </w:t>
      </w:r>
      <w:r w:rsidR="004E0D05">
        <w:t>Moray</w:t>
      </w:r>
      <w:r w:rsidR="00C574FC">
        <w:t xml:space="preserve"> has fallen from 20/32 to </w:t>
      </w:r>
      <w:r w:rsidR="004C745C">
        <w:t>14</w:t>
      </w:r>
      <w:r w:rsidR="00C574FC">
        <w:t>/32</w:t>
      </w:r>
      <w:r w:rsidR="004C745C">
        <w:t xml:space="preserve"> (where 1 is highest)</w:t>
      </w:r>
      <w:r w:rsidR="00070377">
        <w:t xml:space="preserve">. </w:t>
      </w:r>
      <w:r w:rsidR="004E0D05">
        <w:t xml:space="preserve"> </w:t>
      </w:r>
      <w:r w:rsidR="00B74C43">
        <w:t>Within our comparator authority group, from being placed 6/8 in 2014 Moray is now placed 2/8</w:t>
      </w:r>
      <w:r w:rsidR="00B72848">
        <w:t xml:space="preserve"> in 2022. </w:t>
      </w:r>
      <w:r w:rsidR="002947E6">
        <w:t>Of all Scottish Local Authority areas,</w:t>
      </w:r>
      <w:r w:rsidR="00070377">
        <w:t xml:space="preserve"> only</w:t>
      </w:r>
      <w:r w:rsidR="002947E6">
        <w:t xml:space="preserve"> Renfrewshire </w:t>
      </w:r>
      <w:r w:rsidR="00070377">
        <w:t xml:space="preserve">saw a greater decline in ranking, falling from </w:t>
      </w:r>
      <w:r w:rsidR="00B72848">
        <w:t>25</w:t>
      </w:r>
      <w:r w:rsidR="00B72848" w:rsidRPr="00B72848">
        <w:rPr>
          <w:vertAlign w:val="superscript"/>
        </w:rPr>
        <w:t>th</w:t>
      </w:r>
      <w:r w:rsidR="00B72848">
        <w:t xml:space="preserve"> to 17</w:t>
      </w:r>
      <w:r w:rsidR="00B72848" w:rsidRPr="00091692">
        <w:rPr>
          <w:vertAlign w:val="superscript"/>
        </w:rPr>
        <w:t>th</w:t>
      </w:r>
      <w:r w:rsidR="00B72848">
        <w:t>.</w:t>
      </w:r>
      <w:r w:rsidR="004B30CF">
        <w:t xml:space="preserve"> </w:t>
      </w:r>
    </w:p>
    <w:p w14:paraId="37556743" w14:textId="6D16A813" w:rsidR="002A091C" w:rsidRDefault="00D8487A" w:rsidP="002A091C">
      <w:r>
        <w:t>The average gross full-time hourly pay (</w:t>
      </w:r>
      <w:r w:rsidR="00467ECD">
        <w:t xml:space="preserve">earnings </w:t>
      </w:r>
      <w:r>
        <w:t xml:space="preserve">by place of work) in Moray in 2023 </w:t>
      </w:r>
      <w:r w:rsidR="00B72848">
        <w:t>at</w:t>
      </w:r>
      <w:r>
        <w:t xml:space="preserve"> £15.94</w:t>
      </w:r>
      <w:r w:rsidR="00555003">
        <w:rPr>
          <w:rStyle w:val="FootnoteReference"/>
        </w:rPr>
        <w:footnoteReference w:id="2"/>
      </w:r>
      <w:r w:rsidR="00467ECD">
        <w:t>,</w:t>
      </w:r>
      <w:r>
        <w:t xml:space="preserve"> is significantly less than Scotland (£18.10) and ranks Moray 28/32 of Scottish Local Authorities, where 1</w:t>
      </w:r>
      <w:r w:rsidR="00B72848">
        <w:t xml:space="preserve"> </w:t>
      </w:r>
      <w:r w:rsidR="00467ECD">
        <w:t>is highest.</w:t>
      </w:r>
      <w:r w:rsidR="008E213B">
        <w:t xml:space="preserve"> </w:t>
      </w:r>
      <w:r w:rsidR="00967ED3">
        <w:t>Moray bucks the trend whereby full-time female workers earn more per hour (£16.09) than their male counterparts (£15.55).</w:t>
      </w:r>
      <w:r w:rsidR="00624F7D">
        <w:t xml:space="preserve"> </w:t>
      </w:r>
      <w:r w:rsidR="008E213B">
        <w:t>Calculations based on weekly wage data</w:t>
      </w:r>
      <w:r w:rsidR="00624F7D">
        <w:t>, for all employed in Moray,</w:t>
      </w:r>
      <w:r w:rsidR="008E213B">
        <w:t xml:space="preserve"> shows </w:t>
      </w:r>
      <w:r w:rsidR="00624F7D">
        <w:t>an average working week of</w:t>
      </w:r>
      <w:r w:rsidR="00967ED3">
        <w:t xml:space="preserve"> 40</w:t>
      </w:r>
      <w:r w:rsidR="00467ECD">
        <w:t>.6hrs</w:t>
      </w:r>
      <w:r w:rsidR="00624F7D">
        <w:t xml:space="preserve">, </w:t>
      </w:r>
      <w:r w:rsidR="008E213B">
        <w:t xml:space="preserve">compared with the Scottish average of 38.8 hrs/week. </w:t>
      </w:r>
      <w:r w:rsidR="00624F7D">
        <w:t>Even</w:t>
      </w:r>
      <w:r w:rsidR="00B26702">
        <w:t xml:space="preserve"> by working more hours a week, the average full-time weekly pay in Moray (£647.2) is significantly less than the National average (£702.80). Due to this low wage economy Moray is likely to be less resilient to increases in the cost of living in comparison with many other Scottish Local Authorities, </w:t>
      </w:r>
      <w:r w:rsidR="00624F7D">
        <w:t>which</w:t>
      </w:r>
      <w:r w:rsidR="00BC72CF">
        <w:t xml:space="preserve"> </w:t>
      </w:r>
      <w:r w:rsidR="00B26702">
        <w:t xml:space="preserve">in turn </w:t>
      </w:r>
      <w:r w:rsidR="00467ECD">
        <w:t xml:space="preserve">is </w:t>
      </w:r>
      <w:r w:rsidR="00624F7D">
        <w:t xml:space="preserve">a </w:t>
      </w:r>
      <w:r w:rsidR="00467ECD">
        <w:t xml:space="preserve">likely </w:t>
      </w:r>
      <w:r w:rsidR="00BC72CF">
        <w:t xml:space="preserve">contributory factor in </w:t>
      </w:r>
      <w:r w:rsidR="00467ECD">
        <w:t xml:space="preserve">the </w:t>
      </w:r>
      <w:r w:rsidR="00BC72CF">
        <w:t>rising levels of child poverty in Moray.</w:t>
      </w:r>
    </w:p>
    <w:p w14:paraId="23FD0781" w14:textId="77777777" w:rsidR="00091692" w:rsidRDefault="004B507E" w:rsidP="002A091C">
      <w:r>
        <w:t xml:space="preserve">Other societal groups </w:t>
      </w:r>
      <w:r w:rsidR="00F2231C">
        <w:t xml:space="preserve">in Scotland </w:t>
      </w:r>
      <w:r>
        <w:t xml:space="preserve">do not experience poverty to the same levels </w:t>
      </w:r>
      <w:r w:rsidR="00D04832">
        <w:t xml:space="preserve">as </w:t>
      </w:r>
      <w:r>
        <w:t>children. Scottish Government statistics show</w:t>
      </w:r>
      <w:r w:rsidR="00F2231C">
        <w:t xml:space="preserve"> that </w:t>
      </w:r>
      <w:r>
        <w:t>21% of working</w:t>
      </w:r>
      <w:r w:rsidR="008903C0">
        <w:t>-</w:t>
      </w:r>
      <w:r>
        <w:t xml:space="preserve">age people </w:t>
      </w:r>
      <w:r w:rsidR="00F2231C">
        <w:t>and 15% of pensioners were living in poverty (2019</w:t>
      </w:r>
      <w:r w:rsidR="008903C0">
        <w:t>-</w:t>
      </w:r>
      <w:r w:rsidR="00F2231C">
        <w:t>22).</w:t>
      </w:r>
      <w:r w:rsidR="008903C0">
        <w:t xml:space="preserve"> In work poverty is however increasing. </w:t>
      </w:r>
      <w:r w:rsidR="00CA60CA">
        <w:t xml:space="preserve">Between </w:t>
      </w:r>
      <w:r w:rsidR="008903C0">
        <w:t>2009</w:t>
      </w:r>
      <w:r w:rsidR="00CA60CA">
        <w:t xml:space="preserve"> and 2012,</w:t>
      </w:r>
      <w:r w:rsidR="008903C0">
        <w:t xml:space="preserve"> 52% of working-age people in poverty were within working households, </w:t>
      </w:r>
      <w:r w:rsidR="00CA60CA">
        <w:t xml:space="preserve">during </w:t>
      </w:r>
      <w:r w:rsidR="008903C0">
        <w:t>2019</w:t>
      </w:r>
      <w:r w:rsidR="00CA60CA">
        <w:t xml:space="preserve"> and 2022</w:t>
      </w:r>
      <w:r w:rsidR="008903C0">
        <w:t xml:space="preserve"> </w:t>
      </w:r>
      <w:r w:rsidR="00CA60CA">
        <w:t>this</w:t>
      </w:r>
      <w:r w:rsidR="008903C0">
        <w:t xml:space="preserve"> ha</w:t>
      </w:r>
      <w:r w:rsidR="00DE3351">
        <w:t>d</w:t>
      </w:r>
      <w:r w:rsidR="008903C0">
        <w:t xml:space="preserve"> risen to 57%. Similarly, over the same </w:t>
      </w:r>
      <w:r w:rsidR="00BD0390">
        <w:t>period</w:t>
      </w:r>
      <w:r w:rsidR="008903C0">
        <w:t xml:space="preserve"> the proportion of children in poverty</w:t>
      </w:r>
      <w:r w:rsidR="00BD0390">
        <w:t xml:space="preserve"> from working households</w:t>
      </w:r>
      <w:r w:rsidR="00E113F0">
        <w:t>,</w:t>
      </w:r>
      <w:r w:rsidR="00BD0390">
        <w:t xml:space="preserve"> increased from 51% to 69%. This may be indicative of wages and in-work benefits not keeping pace with inflation. With a low wage economy and poverty levels in Moray rising at a faster rate than Scotland it is likely that Moray will be disproportionately </w:t>
      </w:r>
      <w:r w:rsidR="00091692">
        <w:t>affected.</w:t>
      </w:r>
    </w:p>
    <w:p w14:paraId="4FB288E9" w14:textId="202E1C36" w:rsidR="006837BC" w:rsidRDefault="00CA60CA" w:rsidP="002A091C">
      <w:r>
        <w:t xml:space="preserve">Looking at the national picture, Scotland </w:t>
      </w:r>
      <w:r w:rsidR="006837BC">
        <w:t xml:space="preserve">compares reasonably well </w:t>
      </w:r>
      <w:r w:rsidR="00DC0248">
        <w:t xml:space="preserve">against </w:t>
      </w:r>
      <w:r w:rsidR="006837BC">
        <w:t xml:space="preserve">other UK nations. </w:t>
      </w:r>
      <w:r>
        <w:t xml:space="preserve">As stated above, </w:t>
      </w:r>
      <w:r w:rsidR="00DC0248">
        <w:t xml:space="preserve">24.5% of children were living in </w:t>
      </w:r>
      <w:r w:rsidR="00DE3351">
        <w:t>poverty in</w:t>
      </w:r>
      <w:r w:rsidR="006837BC">
        <w:t xml:space="preserve"> </w:t>
      </w:r>
      <w:r w:rsidR="00EB41A4">
        <w:t xml:space="preserve">Scotland in </w:t>
      </w:r>
      <w:r w:rsidR="006837BC">
        <w:t>2021/22</w:t>
      </w:r>
      <w:r w:rsidR="00DC0248">
        <w:t>.  A</w:t>
      </w:r>
      <w:r>
        <w:t xml:space="preserve">t the same time, in England this rate was </w:t>
      </w:r>
      <w:r w:rsidR="006837BC">
        <w:t xml:space="preserve">30.8% </w:t>
      </w:r>
      <w:r w:rsidR="00DE3351">
        <w:t>and</w:t>
      </w:r>
      <w:r>
        <w:t xml:space="preserve"> Wales </w:t>
      </w:r>
      <w:r w:rsidR="006837BC">
        <w:t>27.9%</w:t>
      </w:r>
      <w:r>
        <w:t xml:space="preserve">. </w:t>
      </w:r>
      <w:r w:rsidR="00DC0248">
        <w:t xml:space="preserve">In </w:t>
      </w:r>
      <w:r>
        <w:t>Northern Ireland</w:t>
      </w:r>
      <w:r w:rsidR="00DC0248">
        <w:t xml:space="preserve"> rates were</w:t>
      </w:r>
      <w:r>
        <w:t xml:space="preserve"> better at </w:t>
      </w:r>
      <w:r w:rsidR="006837BC">
        <w:t>22.2%</w:t>
      </w:r>
      <w:r>
        <w:t xml:space="preserve">.  During </w:t>
      </w:r>
      <w:r w:rsidR="006837BC">
        <w:t xml:space="preserve">the </w:t>
      </w:r>
      <w:r w:rsidR="00DB5834">
        <w:t>ten-year</w:t>
      </w:r>
      <w:r w:rsidR="006837BC">
        <w:t xml:space="preserve"> period between 2012 and 2022 levels of child poverty have risen in both Scotland (3.</w:t>
      </w:r>
      <w:r w:rsidR="003438DD">
        <w:t>0</w:t>
      </w:r>
      <w:r w:rsidR="006837BC">
        <w:t xml:space="preserve">%) and England </w:t>
      </w:r>
      <w:r w:rsidR="001C34F7">
        <w:t>(</w:t>
      </w:r>
      <w:r w:rsidR="003438DD">
        <w:t>2.6</w:t>
      </w:r>
      <w:r w:rsidR="006837BC">
        <w:t>%</w:t>
      </w:r>
      <w:r w:rsidR="001C34F7">
        <w:t>)</w:t>
      </w:r>
      <w:r w:rsidR="006837BC">
        <w:t>, whereas in Wales and Northern Ireland have fallen by</w:t>
      </w:r>
      <w:r w:rsidR="001C34F7">
        <w:t xml:space="preserve"> 4.4% and 4.</w:t>
      </w:r>
      <w:r w:rsidR="003438DD">
        <w:t>3</w:t>
      </w:r>
      <w:r w:rsidR="001C34F7">
        <w:t>% respectively</w:t>
      </w:r>
      <w:r w:rsidR="004B30CF">
        <w:t>.</w:t>
      </w:r>
    </w:p>
    <w:p w14:paraId="575ABD07" w14:textId="2068F95C" w:rsidR="00BD0390" w:rsidRPr="002A091C" w:rsidRDefault="00A87CDF" w:rsidP="002A091C">
      <w:r>
        <w:t xml:space="preserve">Unfortunately, national </w:t>
      </w:r>
      <w:r w:rsidR="00061581">
        <w:t>poverty data</w:t>
      </w:r>
      <w:r w:rsidR="00562657">
        <w:t xml:space="preserve"> does not provide any insight </w:t>
      </w:r>
      <w:r>
        <w:t xml:space="preserve">into </w:t>
      </w:r>
      <w:r w:rsidR="00562657">
        <w:t xml:space="preserve">the levels </w:t>
      </w:r>
      <w:r>
        <w:t xml:space="preserve">of poverty </w:t>
      </w:r>
      <w:r w:rsidR="00562657">
        <w:t xml:space="preserve">within authorities. </w:t>
      </w:r>
      <w:r>
        <w:t>B</w:t>
      </w:r>
      <w:r w:rsidR="00562657">
        <w:t xml:space="preserve">y using a range of both national and local data, </w:t>
      </w:r>
      <w:r>
        <w:t xml:space="preserve">this report </w:t>
      </w:r>
      <w:r w:rsidR="00562657">
        <w:t xml:space="preserve">aims to show estimated levels of poverty/household financial vulnerability for the smaller geographies in Moray. The level of poverty in Moray, as published in national data, shows </w:t>
      </w:r>
      <w:r w:rsidR="00562657">
        <w:lastRenderedPageBreak/>
        <w:t>24.1% of Moray children</w:t>
      </w:r>
      <w:r w:rsidR="00E62761">
        <w:t>, in 2021/22 were</w:t>
      </w:r>
      <w:r w:rsidR="00562657">
        <w:t xml:space="preserve"> </w:t>
      </w:r>
      <w:r w:rsidR="00E62761">
        <w:t>living in poverty. The analysis carried out for Data Zone</w:t>
      </w:r>
      <w:r w:rsidR="00E62761">
        <w:rPr>
          <w:rStyle w:val="FootnoteReference"/>
        </w:rPr>
        <w:footnoteReference w:id="3"/>
      </w:r>
      <w:r w:rsidR="00E62761">
        <w:t xml:space="preserve"> geographies of Moray shows that estimated levels of poverty range from 0% to 64.8%.</w:t>
      </w:r>
    </w:p>
    <w:p w14:paraId="5C9B2DD3" w14:textId="1A7FE4E6" w:rsidR="002A5F5B" w:rsidRPr="007A613A" w:rsidRDefault="002A5F5B" w:rsidP="007A613A">
      <w:pPr>
        <w:pStyle w:val="Heading2"/>
      </w:pPr>
      <w:r>
        <w:t>Methodology</w:t>
      </w:r>
    </w:p>
    <w:p w14:paraId="57CAB382" w14:textId="4DAF47BB" w:rsidR="00947C1D" w:rsidRDefault="00FD2E1D" w:rsidP="00972316">
      <w:r>
        <w:t>Poverty is predominantly based on available household income, as such most of the data sets used to estimate levels in Moray</w:t>
      </w:r>
      <w:r w:rsidR="00C9464C">
        <w:t>,</w:t>
      </w:r>
      <w:r>
        <w:t xml:space="preserve"> are based on benefits and advice services relating to income. In addition to income-based data, Scottish Index of Multiple Deprivation (SIMD2020) data has been included in the analysis</w:t>
      </w:r>
      <w:r w:rsidR="0049765C">
        <w:t xml:space="preserve">, but </w:t>
      </w:r>
      <w:r w:rsidR="00FF6882">
        <w:t>cognisance should be taken in reference to SIMD2020 data as it identifies geographic areas where deprivation is highest, it does not identify households or individuals</w:t>
      </w:r>
      <w:r>
        <w:t xml:space="preserve">. </w:t>
      </w:r>
    </w:p>
    <w:p w14:paraId="52B643FA" w14:textId="46723FFB" w:rsidR="00FD2E1D" w:rsidRDefault="00FD2E1D" w:rsidP="00972316">
      <w:r>
        <w:t xml:space="preserve">The National Records of Scotland (NRS) was used to provide </w:t>
      </w:r>
      <w:r w:rsidR="006B73A9">
        <w:t>household</w:t>
      </w:r>
      <w:r>
        <w:t xml:space="preserve">, population and urban/rural contextual data. </w:t>
      </w:r>
      <w:r w:rsidR="006750BA">
        <w:t>Children Living in Low-income Families data</w:t>
      </w:r>
      <w:r w:rsidR="006B73A9">
        <w:t>,</w:t>
      </w:r>
      <w:r w:rsidR="006750BA">
        <w:t xml:space="preserve"> for the period 2021/22</w:t>
      </w:r>
      <w:r w:rsidR="006B73A9">
        <w:t>,</w:t>
      </w:r>
      <w:r w:rsidR="00FF6882">
        <w:t xml:space="preserve"> </w:t>
      </w:r>
      <w:r w:rsidR="00947C1D">
        <w:t>was</w:t>
      </w:r>
      <w:r w:rsidR="006750BA">
        <w:t xml:space="preserve"> extracted </w:t>
      </w:r>
      <w:r w:rsidR="00947C1D">
        <w:t xml:space="preserve">at 0-15 </w:t>
      </w:r>
      <w:r w:rsidR="006750BA">
        <w:t xml:space="preserve">age range. </w:t>
      </w:r>
      <w:r w:rsidR="001C73EE">
        <w:t>National Child Poverty data</w:t>
      </w:r>
      <w:r w:rsidR="00947C1D">
        <w:t>, at Local Authority level,</w:t>
      </w:r>
      <w:r w:rsidR="001C73EE">
        <w:t xml:space="preserve"> provides a combined figure for children aged 0-15, and 16–19-year-olds</w:t>
      </w:r>
      <w:r w:rsidR="0049765C">
        <w:t>,</w:t>
      </w:r>
      <w:r w:rsidR="001C73EE">
        <w:t xml:space="preserve"> if they remain within </w:t>
      </w:r>
      <w:r w:rsidR="004B507E">
        <w:t xml:space="preserve">non-higher </w:t>
      </w:r>
      <w:r w:rsidR="001C73EE">
        <w:t>education. As no figure is available for the number of children remaining in education it is not possible to make population comparisons</w:t>
      </w:r>
      <w:r w:rsidR="00CD4D20">
        <w:t>. To allow for direct comparisons with population data, the 0-15 range has been used</w:t>
      </w:r>
      <w:r w:rsidR="00947C1D">
        <w:t xml:space="preserve"> in calculations to estimate Child Poverty</w:t>
      </w:r>
      <w:r w:rsidR="00CD4D20">
        <w:t xml:space="preserve">. </w:t>
      </w:r>
      <w:r w:rsidR="00972316">
        <w:t>The d</w:t>
      </w:r>
      <w:r w:rsidR="001933AC">
        <w:t>ata sources</w:t>
      </w:r>
      <w:r w:rsidR="007459F1">
        <w:t xml:space="preserve"> used</w:t>
      </w:r>
      <w:r w:rsidR="001933AC">
        <w:t>, both national and local, are</w:t>
      </w:r>
      <w:r w:rsidR="00C23AB7">
        <w:t xml:space="preserve"> detailed in </w:t>
      </w:r>
      <w:r w:rsidR="00C23AB7" w:rsidRPr="00CA3F01">
        <w:rPr>
          <w:b/>
          <w:bCs/>
          <w:color w:val="0070C0"/>
        </w:rPr>
        <w:t>Appendix 1</w:t>
      </w:r>
      <w:r w:rsidR="00BB2178">
        <w:t xml:space="preserve">. </w:t>
      </w:r>
    </w:p>
    <w:p w14:paraId="129D334A" w14:textId="77FBE10F" w:rsidR="004F2584" w:rsidRDefault="003D2B7B" w:rsidP="00972316">
      <w:r>
        <w:t xml:space="preserve">Scotland is divided into </w:t>
      </w:r>
      <w:proofErr w:type="gramStart"/>
      <w:r>
        <w:t>a number of</w:t>
      </w:r>
      <w:proofErr w:type="gramEnd"/>
      <w:r>
        <w:t xml:space="preserve"> smaller </w:t>
      </w:r>
      <w:r w:rsidR="00FF6882">
        <w:t>geographies</w:t>
      </w:r>
      <w:r>
        <w:t xml:space="preserve">, from </w:t>
      </w:r>
      <w:r w:rsidR="00972316">
        <w:t>Postcodes</w:t>
      </w:r>
      <w:r w:rsidR="00972316">
        <w:rPr>
          <w:rStyle w:val="FootnoteReference"/>
        </w:rPr>
        <w:footnoteReference w:id="4"/>
      </w:r>
      <w:r w:rsidR="00972316">
        <w:t xml:space="preserve"> to </w:t>
      </w:r>
      <w:r>
        <w:t>Output Areas</w:t>
      </w:r>
      <w:r>
        <w:rPr>
          <w:rStyle w:val="FootnoteReference"/>
        </w:rPr>
        <w:footnoteReference w:id="5"/>
      </w:r>
      <w:r>
        <w:t xml:space="preserve"> to Data Zones and then to Intermediate Zones</w:t>
      </w:r>
      <w:r>
        <w:rPr>
          <w:rStyle w:val="FootnoteReference"/>
        </w:rPr>
        <w:footnoteReference w:id="6"/>
      </w:r>
      <w:r w:rsidR="00FD2E1D">
        <w:t>, before reaching Local Authority level</w:t>
      </w:r>
      <w:r>
        <w:t>.</w:t>
      </w:r>
      <w:r w:rsidR="00972316">
        <w:t xml:space="preserve"> Data has been extracted from sources </w:t>
      </w:r>
      <w:r w:rsidR="00FF6882">
        <w:t>at</w:t>
      </w:r>
      <w:r w:rsidR="00972316">
        <w:t xml:space="preserve"> a variety of geograph</w:t>
      </w:r>
      <w:r w:rsidR="0049765C">
        <w:t>y sizes</w:t>
      </w:r>
      <w:r w:rsidR="00972316">
        <w:t xml:space="preserve"> and accumulated to both Data Zone and Intermediate Zone level.</w:t>
      </w:r>
      <w:r>
        <w:t xml:space="preserve"> </w:t>
      </w:r>
      <w:r w:rsidR="0049765C">
        <w:t xml:space="preserve">For some data sets it was possible to isolate child data, for example the Moray Food plus provides data </w:t>
      </w:r>
      <w:r w:rsidR="00CD4D20">
        <w:t>for</w:t>
      </w:r>
      <w:r w:rsidR="0049765C">
        <w:t xml:space="preserve"> claimants by age of </w:t>
      </w:r>
      <w:r w:rsidR="00FF6882">
        <w:t xml:space="preserve">all </w:t>
      </w:r>
      <w:r w:rsidR="0049765C">
        <w:t>individuals living household</w:t>
      </w:r>
      <w:r w:rsidR="00CD4D20">
        <w:t>,</w:t>
      </w:r>
      <w:r w:rsidR="0049765C">
        <w:t xml:space="preserve"> allowing for a more specific analysis. </w:t>
      </w:r>
      <w:r w:rsidR="009D62D0">
        <w:t>Unfortunately,</w:t>
      </w:r>
      <w:r w:rsidR="0049765C">
        <w:t xml:space="preserve"> there are insufficient data sets to allow the compilation of tables which </w:t>
      </w:r>
      <w:r w:rsidR="00CD4D20">
        <w:t>would provide analysis</w:t>
      </w:r>
      <w:r w:rsidR="0049765C">
        <w:t xml:space="preserve"> solely </w:t>
      </w:r>
      <w:r w:rsidR="00CD4D20">
        <w:t>for children living in households</w:t>
      </w:r>
      <w:r w:rsidR="00FF6882">
        <w:t>.</w:t>
      </w:r>
    </w:p>
    <w:p w14:paraId="25412883" w14:textId="4A9571AC" w:rsidR="003D4510" w:rsidRDefault="003D4510" w:rsidP="002A5F5B">
      <w:r>
        <w:t xml:space="preserve">All data was </w:t>
      </w:r>
      <w:r w:rsidR="00E114C5">
        <w:t xml:space="preserve">transferred into an Excel </w:t>
      </w:r>
      <w:r w:rsidR="006750BA">
        <w:t>Workbook</w:t>
      </w:r>
      <w:r w:rsidR="00772963">
        <w:t xml:space="preserve"> with a field for every element of data</w:t>
      </w:r>
      <w:r w:rsidR="003D673E">
        <w:t xml:space="preserve">. </w:t>
      </w:r>
      <w:r w:rsidR="0056142C">
        <w:t>Data was standardised</w:t>
      </w:r>
      <w:r w:rsidR="00FD3B0A">
        <w:t xml:space="preserve"> to a percentage </w:t>
      </w:r>
      <w:r w:rsidR="00CD4D20">
        <w:t>by using population data</w:t>
      </w:r>
      <w:r w:rsidR="009D62D0">
        <w:t xml:space="preserve"> for the geographic areas.</w:t>
      </w:r>
      <w:r w:rsidR="008D2821">
        <w:t xml:space="preserve"> </w:t>
      </w:r>
      <w:r w:rsidR="003D673E">
        <w:t xml:space="preserve">Each data field was </w:t>
      </w:r>
      <w:r w:rsidR="00FF2827">
        <w:t xml:space="preserve">then </w:t>
      </w:r>
      <w:r w:rsidR="003D673E">
        <w:t>ranked (</w:t>
      </w:r>
      <w:r w:rsidR="0035072B">
        <w:t>1-126) with ranking 1</w:t>
      </w:r>
      <w:r w:rsidR="00E25A5C">
        <w:t xml:space="preserve"> being the worst value</w:t>
      </w:r>
      <w:r w:rsidR="00411666">
        <w:t>.</w:t>
      </w:r>
      <w:r w:rsidR="00E25A5C">
        <w:t xml:space="preserve"> </w:t>
      </w:r>
      <w:r w:rsidR="00411666">
        <w:t>N</w:t>
      </w:r>
      <w:r w:rsidR="00E25A5C">
        <w:t>o weighting was applied</w:t>
      </w:r>
      <w:r w:rsidR="007205C5">
        <w:t xml:space="preserve"> to any field</w:t>
      </w:r>
      <w:r w:rsidR="001E521E">
        <w:t xml:space="preserve"> with all</w:t>
      </w:r>
      <w:r w:rsidR="007205C5">
        <w:t xml:space="preserve"> treated equally.</w:t>
      </w:r>
      <w:r w:rsidR="00F51090">
        <w:t xml:space="preserve"> To provide an </w:t>
      </w:r>
      <w:r w:rsidR="002E7918">
        <w:t>overall ranking</w:t>
      </w:r>
      <w:r w:rsidR="00327879">
        <w:t xml:space="preserve"> for each data zone </w:t>
      </w:r>
      <w:r w:rsidR="00DF28F8">
        <w:t>all field rankings were</w:t>
      </w:r>
      <w:r w:rsidR="00327879">
        <w:t xml:space="preserve"> totalled</w:t>
      </w:r>
      <w:r w:rsidR="00A46D22">
        <w:t>.</w:t>
      </w:r>
      <w:r w:rsidR="00A765C1">
        <w:t xml:space="preserve"> </w:t>
      </w:r>
    </w:p>
    <w:p w14:paraId="3CABF572" w14:textId="2FFFCB24" w:rsidR="0038127B" w:rsidRDefault="006750BA" w:rsidP="002A5F5B">
      <w:proofErr w:type="gramStart"/>
      <w:r>
        <w:t>With the exception of</w:t>
      </w:r>
      <w:proofErr w:type="gramEnd"/>
      <w:r>
        <w:t xml:space="preserve"> SIMD</w:t>
      </w:r>
      <w:r w:rsidR="00E93D1D">
        <w:t>2020, data</w:t>
      </w:r>
      <w:r w:rsidR="00CB5FB1">
        <w:t xml:space="preserve"> </w:t>
      </w:r>
      <w:r w:rsidR="001E521E">
        <w:t xml:space="preserve">is </w:t>
      </w:r>
      <w:r w:rsidR="00CB5FB1">
        <w:t xml:space="preserve">from </w:t>
      </w:r>
      <w:r>
        <w:t>the period 2021-2023 (Source dependent). All data used was from the most</w:t>
      </w:r>
      <w:r w:rsidR="0001727D">
        <w:t xml:space="preserve"> recent</w:t>
      </w:r>
      <w:r>
        <w:t xml:space="preserve"> </w:t>
      </w:r>
      <w:proofErr w:type="gramStart"/>
      <w:r>
        <w:t>time period</w:t>
      </w:r>
      <w:proofErr w:type="gramEnd"/>
      <w:r>
        <w:t xml:space="preserve"> available.</w:t>
      </w:r>
    </w:p>
    <w:p w14:paraId="33C11065" w14:textId="04A76948" w:rsidR="00BD0390" w:rsidRDefault="002828B9" w:rsidP="002A5F5B">
      <w:r>
        <w:t xml:space="preserve">A special thanks to all the providers of local data, without which it would not have been possible to produce </w:t>
      </w:r>
      <w:r w:rsidR="00E93D1D">
        <w:t xml:space="preserve">such a </w:t>
      </w:r>
      <w:r w:rsidR="00EF2F44">
        <w:t>detailed Poverty/household financial vulnerability information within Moray.</w:t>
      </w:r>
    </w:p>
    <w:p w14:paraId="3C82CB02" w14:textId="0137FA7A" w:rsidR="00447B17" w:rsidRDefault="00447B17" w:rsidP="00447B17">
      <w:pPr>
        <w:pStyle w:val="Heading2"/>
      </w:pPr>
      <w:r>
        <w:t>data limitations</w:t>
      </w:r>
    </w:p>
    <w:p w14:paraId="1E106D8B" w14:textId="5FDA3EC9" w:rsidR="00447B17" w:rsidRDefault="00447B17" w:rsidP="00447B17">
      <w:pPr>
        <w:spacing w:after="0"/>
      </w:pPr>
      <w:r>
        <w:t>It is recognised that other factors can have an impact on household finances</w:t>
      </w:r>
      <w:r w:rsidR="00947C1D">
        <w:t xml:space="preserve"> such as:</w:t>
      </w:r>
    </w:p>
    <w:p w14:paraId="6196F502" w14:textId="47D4C906" w:rsidR="00447B17" w:rsidRDefault="00447B17" w:rsidP="00F2231C">
      <w:pPr>
        <w:pStyle w:val="ListParagraph"/>
        <w:numPr>
          <w:ilvl w:val="0"/>
          <w:numId w:val="3"/>
        </w:numPr>
        <w:spacing w:before="120"/>
      </w:pPr>
      <w:r>
        <w:t>Increased transport costs and access to public transport</w:t>
      </w:r>
      <w:r w:rsidR="00947C1D">
        <w:t>.</w:t>
      </w:r>
    </w:p>
    <w:p w14:paraId="66D6631C" w14:textId="74043CA1" w:rsidR="00447B17" w:rsidRDefault="00447B17" w:rsidP="00447B17">
      <w:pPr>
        <w:pStyle w:val="ListParagraph"/>
        <w:numPr>
          <w:ilvl w:val="0"/>
          <w:numId w:val="3"/>
        </w:numPr>
        <w:spacing w:before="0"/>
      </w:pPr>
      <w:r>
        <w:t>Increased food prices in more rural areas.</w:t>
      </w:r>
    </w:p>
    <w:p w14:paraId="4CBD165B" w14:textId="0FDB2DD1" w:rsidR="00447B17" w:rsidRDefault="00447B17" w:rsidP="00447B17">
      <w:pPr>
        <w:pStyle w:val="ListParagraph"/>
        <w:numPr>
          <w:ilvl w:val="0"/>
          <w:numId w:val="3"/>
        </w:numPr>
        <w:spacing w:before="0"/>
      </w:pPr>
      <w:r>
        <w:t>Access to mains gas and cost of alternative fuels.</w:t>
      </w:r>
    </w:p>
    <w:p w14:paraId="5B243033" w14:textId="10753293" w:rsidR="00447B17" w:rsidRDefault="00447B17" w:rsidP="00BD0390">
      <w:pPr>
        <w:pStyle w:val="ListParagraph"/>
        <w:numPr>
          <w:ilvl w:val="0"/>
          <w:numId w:val="3"/>
        </w:numPr>
        <w:spacing w:before="0" w:after="120"/>
      </w:pPr>
      <w:r>
        <w:t>Properties in the most rural locations have a higher proportion of older, less well insulated, dwellings.</w:t>
      </w:r>
    </w:p>
    <w:p w14:paraId="3398776E" w14:textId="0FB163A2" w:rsidR="00BD0390" w:rsidRDefault="00BD0390" w:rsidP="00BD0390">
      <w:pPr>
        <w:spacing w:before="0"/>
      </w:pPr>
      <w:r>
        <w:t>The</w:t>
      </w:r>
      <w:r w:rsidR="006B73A9">
        <w:t>se</w:t>
      </w:r>
      <w:r>
        <w:t xml:space="preserve"> factors could have a major bearing on rural </w:t>
      </w:r>
      <w:proofErr w:type="gramStart"/>
      <w:r w:rsidR="00F771D4">
        <w:t>poverty</w:t>
      </w:r>
      <w:r w:rsidR="006B73A9">
        <w:t>,</w:t>
      </w:r>
      <w:proofErr w:type="gramEnd"/>
      <w:r>
        <w:t xml:space="preserve"> however data is not available at smaller geography level and where it does exist at Local Authority level is significantly outdated and would </w:t>
      </w:r>
      <w:r w:rsidR="00792743">
        <w:t>not contribute to the analysis.</w:t>
      </w:r>
    </w:p>
    <w:p w14:paraId="36232D1A" w14:textId="21B5E4E8" w:rsidR="002A5F5B" w:rsidRDefault="00435047" w:rsidP="004F5238">
      <w:pPr>
        <w:pStyle w:val="Heading2"/>
      </w:pPr>
      <w:r>
        <w:lastRenderedPageBreak/>
        <w:t>TABLES</w:t>
      </w:r>
    </w:p>
    <w:p w14:paraId="3047DD8D" w14:textId="32186F69" w:rsidR="004D4650" w:rsidRDefault="009D62D0" w:rsidP="002A5F5B">
      <w:r>
        <w:t xml:space="preserve">Intermediate Zone level was chosen to as the preferred geography to display the data within the </w:t>
      </w:r>
      <w:r w:rsidR="00402EF1">
        <w:t>main table</w:t>
      </w:r>
      <w:r>
        <w:t xml:space="preserve"> </w:t>
      </w:r>
      <w:r w:rsidR="00B87318">
        <w:t xml:space="preserve">(Table 2) </w:t>
      </w:r>
      <w:r>
        <w:t>as it</w:t>
      </w:r>
      <w:r w:rsidR="0042367F">
        <w:t xml:space="preserve"> shows </w:t>
      </w:r>
      <w:r>
        <w:t>the extent of poverty/ financial vulnerability in one table with 24 rows, as opposed to Data Zone level where data would be in 126 rows.</w:t>
      </w:r>
      <w:r w:rsidR="000043D4">
        <w:t xml:space="preserve"> </w:t>
      </w:r>
      <w:r w:rsidR="004D4650">
        <w:t>Where data relates to Moray</w:t>
      </w:r>
      <w:r w:rsidR="0042367F">
        <w:t xml:space="preserve">, </w:t>
      </w:r>
      <w:r w:rsidR="004D4650">
        <w:t xml:space="preserve">comparator </w:t>
      </w:r>
      <w:r w:rsidR="006B73A9">
        <w:t xml:space="preserve">authority </w:t>
      </w:r>
      <w:r w:rsidR="004D4650">
        <w:t xml:space="preserve">data </w:t>
      </w:r>
      <w:r w:rsidR="0042367F">
        <w:t>has been</w:t>
      </w:r>
      <w:r w:rsidR="004D4650">
        <w:t xml:space="preserve"> used </w:t>
      </w:r>
      <w:r w:rsidR="006B73A9">
        <w:t>to provide context</w:t>
      </w:r>
      <w:r w:rsidR="0042367F">
        <w:t>.</w:t>
      </w:r>
    </w:p>
    <w:p w14:paraId="6FE81B05" w14:textId="7019FDC3" w:rsidR="003438DD" w:rsidRDefault="00880F4C" w:rsidP="002A5F5B">
      <w:r>
        <w:t xml:space="preserve">The data listed in </w:t>
      </w:r>
      <w:r w:rsidRPr="00CA3F01">
        <w:rPr>
          <w:b/>
          <w:bCs/>
          <w:color w:val="0070C0"/>
        </w:rPr>
        <w:t>Table 2</w:t>
      </w:r>
      <w:r>
        <w:t xml:space="preserve"> is ranked from top to bottom</w:t>
      </w:r>
      <w:r w:rsidR="000043D4">
        <w:t xml:space="preserve"> in order</w:t>
      </w:r>
      <w:r w:rsidR="006B73A9">
        <w:t xml:space="preserve"> of</w:t>
      </w:r>
      <w:r w:rsidR="000043D4">
        <w:t xml:space="preserve"> </w:t>
      </w:r>
      <w:r w:rsidR="00D032E1">
        <w:t>accumulated score ranking, with the highest levels of poverty/ financial vulnerability at the top</w:t>
      </w:r>
      <w:r w:rsidR="004D4650">
        <w:t>.</w:t>
      </w:r>
      <w:r w:rsidR="00EE5D6A">
        <w:t xml:space="preserve"> For ease of reading</w:t>
      </w:r>
      <w:r w:rsidR="006B73A9">
        <w:t>,</w:t>
      </w:r>
      <w:r w:rsidR="00EE5D6A">
        <w:t xml:space="preserve"> the accumulated scores are not provided</w:t>
      </w:r>
      <w:r w:rsidR="004D4650">
        <w:t xml:space="preserve"> </w:t>
      </w:r>
      <w:r w:rsidR="00EE5D6A">
        <w:t>within the tables. The columns with ‘Child Poverty Estimates’ do not always flow sequentially</w:t>
      </w:r>
      <w:r w:rsidR="0001727D">
        <w:t xml:space="preserve"> from most to </w:t>
      </w:r>
      <w:r w:rsidR="00E93D1D">
        <w:t>least;</w:t>
      </w:r>
      <w:r w:rsidR="00EE5D6A">
        <w:t xml:space="preserve"> this is due to the use of accumulated scores as a ranking measure as opposed to ‘Estimated Child Poverty’.</w:t>
      </w:r>
      <w:r w:rsidR="00CD05AB">
        <w:t xml:space="preserve"> Where available comparisons are made with data in the previous report to show changes in levels and rankings</w:t>
      </w:r>
      <w:r w:rsidR="003438DD">
        <w:t>.</w:t>
      </w:r>
    </w:p>
    <w:p w14:paraId="5C64C406" w14:textId="77777777" w:rsidR="00D37EDE" w:rsidRDefault="00D37EDE" w:rsidP="00D37EDE">
      <w:pPr>
        <w:pStyle w:val="Heading2"/>
      </w:pPr>
      <w:r>
        <w:t>TABLE 1: Urban / rural demographics of moray</w:t>
      </w:r>
    </w:p>
    <w:p w14:paraId="65967FF5" w14:textId="2B5B028F" w:rsidR="00792743" w:rsidRDefault="00D37EDE" w:rsidP="00D37EDE">
      <w:r>
        <w:t xml:space="preserve">Moray is classed as a rural Local Authority. Nationally 17% of the population live in rural locations, in Moray the figure is significantly higher </w:t>
      </w:r>
      <w:r w:rsidR="006B73A9">
        <w:t xml:space="preserve">at </w:t>
      </w:r>
      <w:r>
        <w:t>41.3%.</w:t>
      </w:r>
      <w:r w:rsidR="004A1CF9">
        <w:t xml:space="preserve"> In Moray</w:t>
      </w:r>
      <w:r w:rsidR="006B73A9">
        <w:t>,</w:t>
      </w:r>
      <w:r w:rsidR="004A1CF9">
        <w:t xml:space="preserve"> 39.3% of children aged 0-15 live in rural locations, indicating a lower population density living rurally for this age group.</w:t>
      </w:r>
      <w:r w:rsidR="00B87318">
        <w:t xml:space="preserve"> Of the 9,679 children living in urban areas</w:t>
      </w:r>
      <w:r w:rsidR="006B73A9">
        <w:t>,</w:t>
      </w:r>
      <w:r w:rsidR="00B87318">
        <w:t xml:space="preserve"> 2,539 (26.2%) are estimated to be living in Child Poverty</w:t>
      </w:r>
      <w:r w:rsidR="008D184A">
        <w:t xml:space="preserve">. In comparison, the figure for those living rurally is lower </w:t>
      </w:r>
      <w:r w:rsidR="006B73A9">
        <w:t xml:space="preserve">at </w:t>
      </w:r>
      <w:r w:rsidR="008D184A">
        <w:t>20.9% (1,310). As</w:t>
      </w:r>
      <w:r w:rsidR="00800298">
        <w:t xml:space="preserve"> </w:t>
      </w:r>
      <w:r w:rsidR="00E93D1D">
        <w:t>Table 1 shows</w:t>
      </w:r>
      <w:r w:rsidR="00800298">
        <w:t xml:space="preserve"> of the</w:t>
      </w:r>
      <w:r w:rsidR="008D184A">
        <w:t xml:space="preserve"> percentage of all child poverty in Moray, 66% of these children live in urban areas. As this figure is higher than the general population demographics for this age group</w:t>
      </w:r>
      <w:r w:rsidR="006B73A9">
        <w:t>,</w:t>
      </w:r>
      <w:r w:rsidR="008D184A">
        <w:t xml:space="preserve"> it is fair to say that child poverty levels are higher in urban areas.</w:t>
      </w:r>
    </w:p>
    <w:p w14:paraId="53E89476" w14:textId="1EB58DC4" w:rsidR="00D37EDE" w:rsidRDefault="00D37EDE" w:rsidP="00D37EDE">
      <w:pPr>
        <w:pStyle w:val="Caption"/>
        <w:keepNext/>
        <w:spacing w:after="0"/>
      </w:pPr>
      <w:r>
        <w:t xml:space="preserve">Table </w:t>
      </w:r>
      <w:r>
        <w:fldChar w:fldCharType="begin"/>
      </w:r>
      <w:r>
        <w:instrText xml:space="preserve"> SEQ Table \* ARABIC </w:instrText>
      </w:r>
      <w:r>
        <w:fldChar w:fldCharType="separate"/>
      </w:r>
      <w:r w:rsidR="001A5241">
        <w:rPr>
          <w:noProof/>
        </w:rPr>
        <w:t>1</w:t>
      </w:r>
      <w:r>
        <w:fldChar w:fldCharType="end"/>
      </w:r>
      <w:r>
        <w:t>: Urban / Rural population demographics</w:t>
      </w:r>
    </w:p>
    <w:tbl>
      <w:tblPr>
        <w:tblW w:w="9872" w:type="dxa"/>
        <w:tblInd w:w="-10" w:type="dxa"/>
        <w:tblLook w:val="04A0" w:firstRow="1" w:lastRow="0" w:firstColumn="1" w:lastColumn="0" w:noHBand="0" w:noVBand="1"/>
      </w:tblPr>
      <w:tblGrid>
        <w:gridCol w:w="951"/>
        <w:gridCol w:w="1002"/>
        <w:gridCol w:w="764"/>
        <w:gridCol w:w="1002"/>
        <w:gridCol w:w="764"/>
        <w:gridCol w:w="1002"/>
        <w:gridCol w:w="764"/>
        <w:gridCol w:w="1002"/>
        <w:gridCol w:w="770"/>
        <w:gridCol w:w="1851"/>
      </w:tblGrid>
      <w:tr w:rsidR="00D37EDE" w:rsidRPr="00D37EDE" w14:paraId="008D9FCC" w14:textId="77777777" w:rsidTr="00091692">
        <w:trPr>
          <w:trHeight w:val="285"/>
        </w:trPr>
        <w:tc>
          <w:tcPr>
            <w:tcW w:w="9872" w:type="dxa"/>
            <w:gridSpan w:val="10"/>
            <w:tcBorders>
              <w:top w:val="single" w:sz="8" w:space="0" w:color="auto"/>
              <w:left w:val="single" w:sz="8" w:space="0" w:color="auto"/>
              <w:bottom w:val="single" w:sz="4" w:space="0" w:color="auto"/>
              <w:right w:val="single" w:sz="8" w:space="0" w:color="000000"/>
            </w:tcBorders>
            <w:shd w:val="clear" w:color="000000" w:fill="0070C0"/>
            <w:noWrap/>
            <w:vAlign w:val="bottom"/>
            <w:hideMark/>
          </w:tcPr>
          <w:p w14:paraId="5C8BF6F3" w14:textId="2F45502B" w:rsidR="00D37EDE" w:rsidRPr="00E25F61" w:rsidRDefault="00D37EDE" w:rsidP="00D37EDE">
            <w:pPr>
              <w:spacing w:before="0" w:after="0" w:line="240" w:lineRule="auto"/>
              <w:rPr>
                <w:rFonts w:ascii="Calibri" w:eastAsia="Times New Roman" w:hAnsi="Calibri" w:cs="Calibri"/>
                <w:b/>
                <w:bCs/>
                <w:color w:val="FFFFFF"/>
                <w:lang w:eastAsia="en-GB"/>
              </w:rPr>
            </w:pPr>
            <w:r w:rsidRPr="00E25F61">
              <w:rPr>
                <w:rFonts w:ascii="Calibri" w:eastAsia="Times New Roman" w:hAnsi="Calibri" w:cs="Calibri"/>
                <w:b/>
                <w:bCs/>
                <w:color w:val="FFFFFF"/>
                <w:lang w:eastAsia="en-GB"/>
              </w:rPr>
              <w:t>Urban / Rural Population Demogr</w:t>
            </w:r>
            <w:r w:rsidR="008D184A" w:rsidRPr="00E25F61">
              <w:rPr>
                <w:rFonts w:ascii="Calibri" w:eastAsia="Times New Roman" w:hAnsi="Calibri" w:cs="Calibri"/>
                <w:b/>
                <w:bCs/>
                <w:color w:val="FFFFFF"/>
                <w:lang w:eastAsia="en-GB"/>
              </w:rPr>
              <w:t>a</w:t>
            </w:r>
            <w:r w:rsidRPr="00E25F61">
              <w:rPr>
                <w:rFonts w:ascii="Calibri" w:eastAsia="Times New Roman" w:hAnsi="Calibri" w:cs="Calibri"/>
                <w:b/>
                <w:bCs/>
                <w:color w:val="FFFFFF"/>
                <w:lang w:eastAsia="en-GB"/>
              </w:rPr>
              <w:t>phics in Moray</w:t>
            </w:r>
          </w:p>
        </w:tc>
      </w:tr>
      <w:tr w:rsidR="00D37EDE" w:rsidRPr="00D37EDE" w14:paraId="000EE76A" w14:textId="77777777" w:rsidTr="00091692">
        <w:trPr>
          <w:trHeight w:val="285"/>
        </w:trPr>
        <w:tc>
          <w:tcPr>
            <w:tcW w:w="951" w:type="dxa"/>
            <w:vMerge w:val="restart"/>
            <w:tcBorders>
              <w:top w:val="nil"/>
              <w:left w:val="single" w:sz="8" w:space="0" w:color="auto"/>
              <w:bottom w:val="single" w:sz="4" w:space="0" w:color="000000"/>
              <w:right w:val="single" w:sz="8" w:space="0" w:color="auto"/>
            </w:tcBorders>
            <w:shd w:val="clear" w:color="000000" w:fill="8DB4E2"/>
            <w:noWrap/>
            <w:vAlign w:val="bottom"/>
            <w:hideMark/>
          </w:tcPr>
          <w:p w14:paraId="54380E94" w14:textId="77777777" w:rsidR="00D37EDE" w:rsidRPr="00E25F61" w:rsidRDefault="00D37EDE" w:rsidP="00D37EDE">
            <w:pPr>
              <w:spacing w:before="0" w:after="0" w:line="240" w:lineRule="auto"/>
              <w:jc w:val="center"/>
              <w:rPr>
                <w:rFonts w:ascii="Calibri" w:eastAsia="Times New Roman" w:hAnsi="Calibri" w:cs="Calibri"/>
                <w:color w:val="000000"/>
                <w:lang w:eastAsia="en-GB"/>
              </w:rPr>
            </w:pPr>
            <w:r w:rsidRPr="00E25F61">
              <w:rPr>
                <w:rFonts w:ascii="Calibri" w:eastAsia="Times New Roman" w:hAnsi="Calibri" w:cs="Calibri"/>
                <w:color w:val="000000"/>
                <w:lang w:eastAsia="en-GB"/>
              </w:rPr>
              <w:t> </w:t>
            </w:r>
          </w:p>
        </w:tc>
        <w:tc>
          <w:tcPr>
            <w:tcW w:w="1766" w:type="dxa"/>
            <w:gridSpan w:val="2"/>
            <w:tcBorders>
              <w:top w:val="single" w:sz="4" w:space="0" w:color="auto"/>
              <w:left w:val="nil"/>
              <w:bottom w:val="single" w:sz="4" w:space="0" w:color="auto"/>
              <w:right w:val="single" w:sz="8" w:space="0" w:color="000000"/>
            </w:tcBorders>
            <w:shd w:val="clear" w:color="000000" w:fill="8DB4E2"/>
            <w:noWrap/>
            <w:vAlign w:val="bottom"/>
            <w:hideMark/>
          </w:tcPr>
          <w:p w14:paraId="059429D3" w14:textId="77777777" w:rsidR="00D37EDE" w:rsidRPr="00E25F61" w:rsidRDefault="00D37EDE" w:rsidP="00D37EDE">
            <w:pPr>
              <w:spacing w:before="0" w:after="0" w:line="240" w:lineRule="auto"/>
              <w:jc w:val="center"/>
              <w:rPr>
                <w:rFonts w:ascii="Calibri" w:eastAsia="Times New Roman" w:hAnsi="Calibri" w:cs="Calibri"/>
                <w:color w:val="000000"/>
                <w:lang w:eastAsia="en-GB"/>
              </w:rPr>
            </w:pPr>
            <w:r w:rsidRPr="00E25F61">
              <w:rPr>
                <w:rFonts w:ascii="Calibri" w:eastAsia="Times New Roman" w:hAnsi="Calibri" w:cs="Calibri"/>
                <w:color w:val="000000"/>
                <w:lang w:eastAsia="en-GB"/>
              </w:rPr>
              <w:t>Population</w:t>
            </w:r>
          </w:p>
        </w:tc>
        <w:tc>
          <w:tcPr>
            <w:tcW w:w="1766" w:type="dxa"/>
            <w:gridSpan w:val="2"/>
            <w:tcBorders>
              <w:top w:val="single" w:sz="4" w:space="0" w:color="auto"/>
              <w:left w:val="nil"/>
              <w:bottom w:val="single" w:sz="4" w:space="0" w:color="auto"/>
              <w:right w:val="single" w:sz="8" w:space="0" w:color="000000"/>
            </w:tcBorders>
            <w:shd w:val="clear" w:color="000000" w:fill="8DB4E2"/>
            <w:noWrap/>
            <w:vAlign w:val="bottom"/>
            <w:hideMark/>
          </w:tcPr>
          <w:p w14:paraId="20152B5E" w14:textId="77777777" w:rsidR="00D37EDE" w:rsidRPr="00E25F61" w:rsidRDefault="00D37EDE" w:rsidP="00D37EDE">
            <w:pPr>
              <w:spacing w:before="0" w:after="0" w:line="240" w:lineRule="auto"/>
              <w:jc w:val="center"/>
              <w:rPr>
                <w:rFonts w:ascii="Calibri" w:eastAsia="Times New Roman" w:hAnsi="Calibri" w:cs="Calibri"/>
                <w:color w:val="000000"/>
                <w:lang w:eastAsia="en-GB"/>
              </w:rPr>
            </w:pPr>
            <w:r w:rsidRPr="00E25F61">
              <w:rPr>
                <w:rFonts w:ascii="Calibri" w:eastAsia="Times New Roman" w:hAnsi="Calibri" w:cs="Calibri"/>
                <w:color w:val="000000"/>
                <w:lang w:eastAsia="en-GB"/>
              </w:rPr>
              <w:t>0-15</w:t>
            </w:r>
          </w:p>
        </w:tc>
        <w:tc>
          <w:tcPr>
            <w:tcW w:w="1766" w:type="dxa"/>
            <w:gridSpan w:val="2"/>
            <w:tcBorders>
              <w:top w:val="single" w:sz="4" w:space="0" w:color="auto"/>
              <w:left w:val="nil"/>
              <w:bottom w:val="single" w:sz="4" w:space="0" w:color="auto"/>
              <w:right w:val="single" w:sz="8" w:space="0" w:color="000000"/>
            </w:tcBorders>
            <w:shd w:val="clear" w:color="000000" w:fill="8DB4E2"/>
            <w:noWrap/>
            <w:vAlign w:val="bottom"/>
            <w:hideMark/>
          </w:tcPr>
          <w:p w14:paraId="672D72F6" w14:textId="77777777" w:rsidR="00D37EDE" w:rsidRPr="00E25F61" w:rsidRDefault="00D37EDE" w:rsidP="00D37EDE">
            <w:pPr>
              <w:spacing w:before="0" w:after="0" w:line="240" w:lineRule="auto"/>
              <w:jc w:val="center"/>
              <w:rPr>
                <w:rFonts w:ascii="Calibri" w:eastAsia="Times New Roman" w:hAnsi="Calibri" w:cs="Calibri"/>
                <w:color w:val="000000"/>
                <w:lang w:eastAsia="en-GB"/>
              </w:rPr>
            </w:pPr>
            <w:r w:rsidRPr="00E25F61">
              <w:rPr>
                <w:rFonts w:ascii="Calibri" w:eastAsia="Times New Roman" w:hAnsi="Calibri" w:cs="Calibri"/>
                <w:color w:val="000000"/>
                <w:lang w:eastAsia="en-GB"/>
              </w:rPr>
              <w:t>Data Zones</w:t>
            </w:r>
          </w:p>
        </w:tc>
        <w:tc>
          <w:tcPr>
            <w:tcW w:w="3623" w:type="dxa"/>
            <w:gridSpan w:val="3"/>
            <w:tcBorders>
              <w:top w:val="single" w:sz="4" w:space="0" w:color="auto"/>
              <w:left w:val="nil"/>
              <w:bottom w:val="single" w:sz="4" w:space="0" w:color="auto"/>
              <w:right w:val="single" w:sz="8" w:space="0" w:color="000000"/>
            </w:tcBorders>
            <w:shd w:val="clear" w:color="000000" w:fill="8DB4E2"/>
            <w:noWrap/>
            <w:vAlign w:val="bottom"/>
            <w:hideMark/>
          </w:tcPr>
          <w:p w14:paraId="55A041F3" w14:textId="77777777" w:rsidR="00D37EDE" w:rsidRPr="00E25F61" w:rsidRDefault="00D37EDE" w:rsidP="00D37EDE">
            <w:pPr>
              <w:spacing w:before="0" w:after="0" w:line="240" w:lineRule="auto"/>
              <w:jc w:val="center"/>
              <w:rPr>
                <w:rFonts w:ascii="Calibri" w:eastAsia="Times New Roman" w:hAnsi="Calibri" w:cs="Calibri"/>
                <w:color w:val="000000"/>
                <w:lang w:eastAsia="en-GB"/>
              </w:rPr>
            </w:pPr>
            <w:r w:rsidRPr="00E25F61">
              <w:rPr>
                <w:rFonts w:ascii="Calibri" w:eastAsia="Times New Roman" w:hAnsi="Calibri" w:cs="Calibri"/>
                <w:color w:val="000000"/>
                <w:lang w:eastAsia="en-GB"/>
              </w:rPr>
              <w:t>Estimated Child Poverty</w:t>
            </w:r>
          </w:p>
        </w:tc>
      </w:tr>
      <w:tr w:rsidR="00D37EDE" w:rsidRPr="00D37EDE" w14:paraId="6EF484B2" w14:textId="77777777" w:rsidTr="00091692">
        <w:trPr>
          <w:trHeight w:val="285"/>
        </w:trPr>
        <w:tc>
          <w:tcPr>
            <w:tcW w:w="951" w:type="dxa"/>
            <w:vMerge/>
            <w:tcBorders>
              <w:top w:val="nil"/>
              <w:left w:val="single" w:sz="8" w:space="0" w:color="auto"/>
              <w:bottom w:val="single" w:sz="4" w:space="0" w:color="000000"/>
              <w:right w:val="single" w:sz="8" w:space="0" w:color="auto"/>
            </w:tcBorders>
            <w:vAlign w:val="center"/>
            <w:hideMark/>
          </w:tcPr>
          <w:p w14:paraId="56D082B5" w14:textId="77777777" w:rsidR="00D37EDE" w:rsidRPr="00E25F61" w:rsidRDefault="00D37EDE" w:rsidP="00D37EDE">
            <w:pPr>
              <w:spacing w:before="0" w:after="0" w:line="240" w:lineRule="auto"/>
              <w:rPr>
                <w:rFonts w:ascii="Calibri" w:eastAsia="Times New Roman" w:hAnsi="Calibri" w:cs="Calibri"/>
                <w:color w:val="000000"/>
                <w:lang w:eastAsia="en-GB"/>
              </w:rPr>
            </w:pPr>
          </w:p>
        </w:tc>
        <w:tc>
          <w:tcPr>
            <w:tcW w:w="1002" w:type="dxa"/>
            <w:tcBorders>
              <w:top w:val="nil"/>
              <w:left w:val="nil"/>
              <w:bottom w:val="single" w:sz="4" w:space="0" w:color="auto"/>
              <w:right w:val="single" w:sz="4" w:space="0" w:color="auto"/>
            </w:tcBorders>
            <w:shd w:val="clear" w:color="000000" w:fill="DCE6F1"/>
            <w:noWrap/>
            <w:vAlign w:val="bottom"/>
            <w:hideMark/>
          </w:tcPr>
          <w:p w14:paraId="18333240" w14:textId="77777777" w:rsidR="00D37EDE" w:rsidRPr="00E25F61" w:rsidRDefault="00D37EDE" w:rsidP="00D37EDE">
            <w:pPr>
              <w:spacing w:before="0" w:after="0" w:line="240" w:lineRule="auto"/>
              <w:jc w:val="center"/>
              <w:rPr>
                <w:rFonts w:ascii="Calibri" w:eastAsia="Times New Roman" w:hAnsi="Calibri" w:cs="Calibri"/>
                <w:color w:val="000000"/>
                <w:lang w:eastAsia="en-GB"/>
              </w:rPr>
            </w:pPr>
            <w:r w:rsidRPr="00E25F61">
              <w:rPr>
                <w:rFonts w:ascii="Calibri" w:eastAsia="Times New Roman" w:hAnsi="Calibri" w:cs="Calibri"/>
                <w:color w:val="000000"/>
                <w:lang w:eastAsia="en-GB"/>
              </w:rPr>
              <w:t>Number</w:t>
            </w:r>
          </w:p>
        </w:tc>
        <w:tc>
          <w:tcPr>
            <w:tcW w:w="764" w:type="dxa"/>
            <w:tcBorders>
              <w:top w:val="nil"/>
              <w:left w:val="nil"/>
              <w:bottom w:val="single" w:sz="4" w:space="0" w:color="auto"/>
              <w:right w:val="single" w:sz="8" w:space="0" w:color="auto"/>
            </w:tcBorders>
            <w:shd w:val="clear" w:color="000000" w:fill="DCE6F1"/>
            <w:noWrap/>
            <w:vAlign w:val="bottom"/>
            <w:hideMark/>
          </w:tcPr>
          <w:p w14:paraId="7F1B6FDA" w14:textId="77777777" w:rsidR="00D37EDE" w:rsidRPr="00E25F61" w:rsidRDefault="00D37EDE" w:rsidP="00D37EDE">
            <w:pPr>
              <w:spacing w:before="0" w:after="0" w:line="240" w:lineRule="auto"/>
              <w:jc w:val="center"/>
              <w:rPr>
                <w:rFonts w:ascii="Calibri" w:eastAsia="Times New Roman" w:hAnsi="Calibri" w:cs="Calibri"/>
                <w:color w:val="000000"/>
                <w:lang w:eastAsia="en-GB"/>
              </w:rPr>
            </w:pPr>
            <w:r w:rsidRPr="00E25F61">
              <w:rPr>
                <w:rFonts w:ascii="Calibri" w:eastAsia="Times New Roman" w:hAnsi="Calibri" w:cs="Calibri"/>
                <w:color w:val="000000"/>
                <w:lang w:eastAsia="en-GB"/>
              </w:rPr>
              <w:t>%</w:t>
            </w:r>
          </w:p>
        </w:tc>
        <w:tc>
          <w:tcPr>
            <w:tcW w:w="1002" w:type="dxa"/>
            <w:tcBorders>
              <w:top w:val="nil"/>
              <w:left w:val="nil"/>
              <w:bottom w:val="single" w:sz="4" w:space="0" w:color="auto"/>
              <w:right w:val="single" w:sz="4" w:space="0" w:color="auto"/>
            </w:tcBorders>
            <w:shd w:val="clear" w:color="000000" w:fill="DCE6F1"/>
            <w:noWrap/>
            <w:vAlign w:val="bottom"/>
            <w:hideMark/>
          </w:tcPr>
          <w:p w14:paraId="5A9EFDA6" w14:textId="77777777" w:rsidR="00D37EDE" w:rsidRPr="00E25F61" w:rsidRDefault="00D37EDE" w:rsidP="00D37EDE">
            <w:pPr>
              <w:spacing w:before="0" w:after="0" w:line="240" w:lineRule="auto"/>
              <w:jc w:val="center"/>
              <w:rPr>
                <w:rFonts w:ascii="Calibri" w:eastAsia="Times New Roman" w:hAnsi="Calibri" w:cs="Calibri"/>
                <w:color w:val="000000"/>
                <w:lang w:eastAsia="en-GB"/>
              </w:rPr>
            </w:pPr>
            <w:r w:rsidRPr="00E25F61">
              <w:rPr>
                <w:rFonts w:ascii="Calibri" w:eastAsia="Times New Roman" w:hAnsi="Calibri" w:cs="Calibri"/>
                <w:color w:val="000000"/>
                <w:lang w:eastAsia="en-GB"/>
              </w:rPr>
              <w:t>Number</w:t>
            </w:r>
          </w:p>
        </w:tc>
        <w:tc>
          <w:tcPr>
            <w:tcW w:w="764" w:type="dxa"/>
            <w:tcBorders>
              <w:top w:val="nil"/>
              <w:left w:val="nil"/>
              <w:bottom w:val="single" w:sz="4" w:space="0" w:color="auto"/>
              <w:right w:val="single" w:sz="8" w:space="0" w:color="auto"/>
            </w:tcBorders>
            <w:shd w:val="clear" w:color="000000" w:fill="DCE6F1"/>
            <w:noWrap/>
            <w:vAlign w:val="bottom"/>
            <w:hideMark/>
          </w:tcPr>
          <w:p w14:paraId="2075A219" w14:textId="77777777" w:rsidR="00D37EDE" w:rsidRPr="00E25F61" w:rsidRDefault="00D37EDE" w:rsidP="00D37EDE">
            <w:pPr>
              <w:spacing w:before="0" w:after="0" w:line="240" w:lineRule="auto"/>
              <w:jc w:val="center"/>
              <w:rPr>
                <w:rFonts w:ascii="Calibri" w:eastAsia="Times New Roman" w:hAnsi="Calibri" w:cs="Calibri"/>
                <w:color w:val="000000"/>
                <w:lang w:eastAsia="en-GB"/>
              </w:rPr>
            </w:pPr>
            <w:r w:rsidRPr="00E25F61">
              <w:rPr>
                <w:rFonts w:ascii="Calibri" w:eastAsia="Times New Roman" w:hAnsi="Calibri" w:cs="Calibri"/>
                <w:color w:val="000000"/>
                <w:lang w:eastAsia="en-GB"/>
              </w:rPr>
              <w:t>%</w:t>
            </w:r>
          </w:p>
        </w:tc>
        <w:tc>
          <w:tcPr>
            <w:tcW w:w="1002" w:type="dxa"/>
            <w:tcBorders>
              <w:top w:val="nil"/>
              <w:left w:val="nil"/>
              <w:bottom w:val="single" w:sz="4" w:space="0" w:color="auto"/>
              <w:right w:val="single" w:sz="4" w:space="0" w:color="auto"/>
            </w:tcBorders>
            <w:shd w:val="clear" w:color="000000" w:fill="DCE6F1"/>
            <w:noWrap/>
            <w:vAlign w:val="bottom"/>
            <w:hideMark/>
          </w:tcPr>
          <w:p w14:paraId="5BD855EC" w14:textId="77777777" w:rsidR="00D37EDE" w:rsidRPr="00E25F61" w:rsidRDefault="00D37EDE" w:rsidP="00D37EDE">
            <w:pPr>
              <w:spacing w:before="0" w:after="0" w:line="240" w:lineRule="auto"/>
              <w:jc w:val="center"/>
              <w:rPr>
                <w:rFonts w:ascii="Calibri" w:eastAsia="Times New Roman" w:hAnsi="Calibri" w:cs="Calibri"/>
                <w:color w:val="000000"/>
                <w:lang w:eastAsia="en-GB"/>
              </w:rPr>
            </w:pPr>
            <w:r w:rsidRPr="00E25F61">
              <w:rPr>
                <w:rFonts w:ascii="Calibri" w:eastAsia="Times New Roman" w:hAnsi="Calibri" w:cs="Calibri"/>
                <w:color w:val="000000"/>
                <w:lang w:eastAsia="en-GB"/>
              </w:rPr>
              <w:t>Number</w:t>
            </w:r>
          </w:p>
        </w:tc>
        <w:tc>
          <w:tcPr>
            <w:tcW w:w="764" w:type="dxa"/>
            <w:tcBorders>
              <w:top w:val="nil"/>
              <w:left w:val="nil"/>
              <w:bottom w:val="single" w:sz="4" w:space="0" w:color="auto"/>
              <w:right w:val="single" w:sz="8" w:space="0" w:color="auto"/>
            </w:tcBorders>
            <w:shd w:val="clear" w:color="000000" w:fill="DCE6F1"/>
            <w:noWrap/>
            <w:vAlign w:val="bottom"/>
            <w:hideMark/>
          </w:tcPr>
          <w:p w14:paraId="15652B75" w14:textId="77777777" w:rsidR="00D37EDE" w:rsidRPr="00E25F61" w:rsidRDefault="00D37EDE" w:rsidP="00D37EDE">
            <w:pPr>
              <w:spacing w:before="0" w:after="0" w:line="240" w:lineRule="auto"/>
              <w:jc w:val="center"/>
              <w:rPr>
                <w:rFonts w:ascii="Calibri" w:eastAsia="Times New Roman" w:hAnsi="Calibri" w:cs="Calibri"/>
                <w:color w:val="000000"/>
                <w:lang w:eastAsia="en-GB"/>
              </w:rPr>
            </w:pPr>
            <w:r w:rsidRPr="00E25F61">
              <w:rPr>
                <w:rFonts w:ascii="Calibri" w:eastAsia="Times New Roman" w:hAnsi="Calibri" w:cs="Calibri"/>
                <w:color w:val="000000"/>
                <w:lang w:eastAsia="en-GB"/>
              </w:rPr>
              <w:t>%</w:t>
            </w:r>
          </w:p>
        </w:tc>
        <w:tc>
          <w:tcPr>
            <w:tcW w:w="1002" w:type="dxa"/>
            <w:tcBorders>
              <w:top w:val="nil"/>
              <w:left w:val="nil"/>
              <w:bottom w:val="single" w:sz="4" w:space="0" w:color="auto"/>
              <w:right w:val="single" w:sz="4" w:space="0" w:color="auto"/>
            </w:tcBorders>
            <w:shd w:val="clear" w:color="000000" w:fill="DCE6F1"/>
            <w:noWrap/>
            <w:vAlign w:val="bottom"/>
            <w:hideMark/>
          </w:tcPr>
          <w:p w14:paraId="6540F07B" w14:textId="77777777" w:rsidR="00D37EDE" w:rsidRPr="00E25F61" w:rsidRDefault="00D37EDE" w:rsidP="00D37EDE">
            <w:pPr>
              <w:spacing w:before="0" w:after="0" w:line="240" w:lineRule="auto"/>
              <w:jc w:val="center"/>
              <w:rPr>
                <w:rFonts w:ascii="Calibri" w:eastAsia="Times New Roman" w:hAnsi="Calibri" w:cs="Calibri"/>
                <w:color w:val="000000"/>
                <w:lang w:eastAsia="en-GB"/>
              </w:rPr>
            </w:pPr>
            <w:r w:rsidRPr="00E25F61">
              <w:rPr>
                <w:rFonts w:ascii="Calibri" w:eastAsia="Times New Roman" w:hAnsi="Calibri" w:cs="Calibri"/>
                <w:color w:val="000000"/>
                <w:lang w:eastAsia="en-GB"/>
              </w:rPr>
              <w:t>Number</w:t>
            </w:r>
          </w:p>
        </w:tc>
        <w:tc>
          <w:tcPr>
            <w:tcW w:w="770" w:type="dxa"/>
            <w:tcBorders>
              <w:top w:val="nil"/>
              <w:left w:val="nil"/>
              <w:bottom w:val="single" w:sz="4" w:space="0" w:color="auto"/>
              <w:right w:val="single" w:sz="4" w:space="0" w:color="auto"/>
            </w:tcBorders>
            <w:shd w:val="clear" w:color="000000" w:fill="DCE6F1"/>
            <w:noWrap/>
            <w:vAlign w:val="bottom"/>
            <w:hideMark/>
          </w:tcPr>
          <w:p w14:paraId="07569BBE" w14:textId="77777777" w:rsidR="00D37EDE" w:rsidRPr="00E25F61" w:rsidRDefault="00D37EDE" w:rsidP="00D37EDE">
            <w:pPr>
              <w:spacing w:before="0" w:after="0" w:line="240" w:lineRule="auto"/>
              <w:jc w:val="center"/>
              <w:rPr>
                <w:rFonts w:ascii="Calibri" w:eastAsia="Times New Roman" w:hAnsi="Calibri" w:cs="Calibri"/>
                <w:color w:val="000000"/>
                <w:lang w:eastAsia="en-GB"/>
              </w:rPr>
            </w:pPr>
            <w:r w:rsidRPr="00E25F61">
              <w:rPr>
                <w:rFonts w:ascii="Calibri" w:eastAsia="Times New Roman" w:hAnsi="Calibri" w:cs="Calibri"/>
                <w:color w:val="000000"/>
                <w:lang w:eastAsia="en-GB"/>
              </w:rPr>
              <w:t>%</w:t>
            </w:r>
          </w:p>
        </w:tc>
        <w:tc>
          <w:tcPr>
            <w:tcW w:w="1851" w:type="dxa"/>
            <w:tcBorders>
              <w:top w:val="nil"/>
              <w:left w:val="nil"/>
              <w:bottom w:val="single" w:sz="4" w:space="0" w:color="auto"/>
              <w:right w:val="single" w:sz="8" w:space="0" w:color="auto"/>
            </w:tcBorders>
            <w:shd w:val="clear" w:color="000000" w:fill="DCE6F1"/>
            <w:noWrap/>
            <w:vAlign w:val="bottom"/>
            <w:hideMark/>
          </w:tcPr>
          <w:p w14:paraId="20A18192" w14:textId="77777777" w:rsidR="00D37EDE" w:rsidRPr="00E25F61" w:rsidRDefault="00D37EDE" w:rsidP="00D37EDE">
            <w:pPr>
              <w:spacing w:before="0" w:after="0" w:line="240" w:lineRule="auto"/>
              <w:jc w:val="center"/>
              <w:rPr>
                <w:rFonts w:ascii="Calibri" w:eastAsia="Times New Roman" w:hAnsi="Calibri" w:cs="Calibri"/>
                <w:color w:val="000000"/>
                <w:lang w:eastAsia="en-GB"/>
              </w:rPr>
            </w:pPr>
            <w:r w:rsidRPr="00E25F61">
              <w:rPr>
                <w:rFonts w:ascii="Calibri" w:eastAsia="Times New Roman" w:hAnsi="Calibri" w:cs="Calibri"/>
                <w:color w:val="000000"/>
                <w:lang w:eastAsia="en-GB"/>
              </w:rPr>
              <w:t>% of all Poverty</w:t>
            </w:r>
          </w:p>
        </w:tc>
      </w:tr>
      <w:tr w:rsidR="00D37EDE" w:rsidRPr="00D37EDE" w14:paraId="159A7557" w14:textId="77777777" w:rsidTr="00091692">
        <w:trPr>
          <w:trHeight w:val="285"/>
        </w:trPr>
        <w:tc>
          <w:tcPr>
            <w:tcW w:w="951" w:type="dxa"/>
            <w:tcBorders>
              <w:top w:val="nil"/>
              <w:left w:val="single" w:sz="8" w:space="0" w:color="auto"/>
              <w:bottom w:val="single" w:sz="4" w:space="0" w:color="auto"/>
              <w:right w:val="nil"/>
            </w:tcBorders>
            <w:shd w:val="clear" w:color="auto" w:fill="auto"/>
            <w:noWrap/>
            <w:vAlign w:val="bottom"/>
            <w:hideMark/>
          </w:tcPr>
          <w:p w14:paraId="35938585" w14:textId="77777777" w:rsidR="00D37EDE" w:rsidRPr="00E25F61" w:rsidRDefault="00D37EDE" w:rsidP="00D37EDE">
            <w:pPr>
              <w:spacing w:before="0" w:after="0" w:line="240" w:lineRule="auto"/>
              <w:rPr>
                <w:rFonts w:ascii="Calibri" w:eastAsia="Times New Roman" w:hAnsi="Calibri" w:cs="Calibri"/>
                <w:color w:val="000000"/>
                <w:lang w:eastAsia="en-GB"/>
              </w:rPr>
            </w:pPr>
            <w:r w:rsidRPr="00E25F61">
              <w:rPr>
                <w:rFonts w:ascii="Calibri" w:eastAsia="Times New Roman" w:hAnsi="Calibri" w:cs="Calibri"/>
                <w:color w:val="000000"/>
                <w:lang w:eastAsia="en-GB"/>
              </w:rPr>
              <w:t>Urban</w:t>
            </w:r>
          </w:p>
        </w:tc>
        <w:tc>
          <w:tcPr>
            <w:tcW w:w="1002" w:type="dxa"/>
            <w:tcBorders>
              <w:top w:val="nil"/>
              <w:left w:val="single" w:sz="8" w:space="0" w:color="auto"/>
              <w:bottom w:val="single" w:sz="4" w:space="0" w:color="auto"/>
              <w:right w:val="single" w:sz="4" w:space="0" w:color="auto"/>
            </w:tcBorders>
            <w:shd w:val="clear" w:color="auto" w:fill="auto"/>
            <w:noWrap/>
            <w:vAlign w:val="bottom"/>
            <w:hideMark/>
          </w:tcPr>
          <w:p w14:paraId="777605AC" w14:textId="77777777" w:rsidR="00D37EDE" w:rsidRPr="00E25F61" w:rsidRDefault="00D37EDE" w:rsidP="00D37EDE">
            <w:pPr>
              <w:spacing w:before="0" w:after="0" w:line="240" w:lineRule="auto"/>
              <w:jc w:val="center"/>
              <w:rPr>
                <w:rFonts w:ascii="Calibri" w:eastAsia="Times New Roman" w:hAnsi="Calibri" w:cs="Calibri"/>
                <w:color w:val="000000"/>
                <w:lang w:eastAsia="en-GB"/>
              </w:rPr>
            </w:pPr>
            <w:r w:rsidRPr="00E25F61">
              <w:rPr>
                <w:rFonts w:ascii="Calibri" w:eastAsia="Times New Roman" w:hAnsi="Calibri" w:cs="Calibri"/>
                <w:color w:val="000000"/>
                <w:lang w:eastAsia="en-GB"/>
              </w:rPr>
              <w:t>56,562</w:t>
            </w:r>
          </w:p>
        </w:tc>
        <w:tc>
          <w:tcPr>
            <w:tcW w:w="764" w:type="dxa"/>
            <w:tcBorders>
              <w:top w:val="nil"/>
              <w:left w:val="nil"/>
              <w:bottom w:val="single" w:sz="4" w:space="0" w:color="auto"/>
              <w:right w:val="single" w:sz="8" w:space="0" w:color="auto"/>
            </w:tcBorders>
            <w:shd w:val="clear" w:color="auto" w:fill="auto"/>
            <w:noWrap/>
            <w:vAlign w:val="bottom"/>
            <w:hideMark/>
          </w:tcPr>
          <w:p w14:paraId="05C486D5" w14:textId="77777777" w:rsidR="00D37EDE" w:rsidRPr="00E25F61" w:rsidRDefault="00D37EDE" w:rsidP="00D37EDE">
            <w:pPr>
              <w:spacing w:before="0" w:after="0" w:line="240" w:lineRule="auto"/>
              <w:jc w:val="center"/>
              <w:rPr>
                <w:rFonts w:ascii="Calibri" w:eastAsia="Times New Roman" w:hAnsi="Calibri" w:cs="Calibri"/>
                <w:color w:val="000000"/>
                <w:lang w:eastAsia="en-GB"/>
              </w:rPr>
            </w:pPr>
            <w:r w:rsidRPr="00E25F61">
              <w:rPr>
                <w:rFonts w:ascii="Calibri" w:eastAsia="Times New Roman" w:hAnsi="Calibri" w:cs="Calibri"/>
                <w:color w:val="000000"/>
                <w:lang w:eastAsia="en-GB"/>
              </w:rPr>
              <w:t>58.7%</w:t>
            </w:r>
          </w:p>
        </w:tc>
        <w:tc>
          <w:tcPr>
            <w:tcW w:w="1002" w:type="dxa"/>
            <w:tcBorders>
              <w:top w:val="nil"/>
              <w:left w:val="nil"/>
              <w:bottom w:val="single" w:sz="4" w:space="0" w:color="auto"/>
              <w:right w:val="single" w:sz="4" w:space="0" w:color="auto"/>
            </w:tcBorders>
            <w:shd w:val="clear" w:color="auto" w:fill="auto"/>
            <w:noWrap/>
            <w:vAlign w:val="bottom"/>
            <w:hideMark/>
          </w:tcPr>
          <w:p w14:paraId="5F7549DB" w14:textId="77777777" w:rsidR="00D37EDE" w:rsidRPr="00E25F61" w:rsidRDefault="00D37EDE" w:rsidP="00D37EDE">
            <w:pPr>
              <w:spacing w:before="0" w:after="0" w:line="240" w:lineRule="auto"/>
              <w:jc w:val="center"/>
              <w:rPr>
                <w:rFonts w:ascii="Calibri" w:eastAsia="Times New Roman" w:hAnsi="Calibri" w:cs="Calibri"/>
                <w:color w:val="000000"/>
                <w:lang w:eastAsia="en-GB"/>
              </w:rPr>
            </w:pPr>
            <w:r w:rsidRPr="00E25F61">
              <w:rPr>
                <w:rFonts w:ascii="Calibri" w:eastAsia="Times New Roman" w:hAnsi="Calibri" w:cs="Calibri"/>
                <w:color w:val="000000"/>
                <w:lang w:eastAsia="en-GB"/>
              </w:rPr>
              <w:t>9,679</w:t>
            </w:r>
          </w:p>
        </w:tc>
        <w:tc>
          <w:tcPr>
            <w:tcW w:w="764" w:type="dxa"/>
            <w:tcBorders>
              <w:top w:val="nil"/>
              <w:left w:val="nil"/>
              <w:bottom w:val="single" w:sz="4" w:space="0" w:color="auto"/>
              <w:right w:val="single" w:sz="8" w:space="0" w:color="auto"/>
            </w:tcBorders>
            <w:shd w:val="clear" w:color="auto" w:fill="auto"/>
            <w:noWrap/>
            <w:vAlign w:val="bottom"/>
            <w:hideMark/>
          </w:tcPr>
          <w:p w14:paraId="319F4468" w14:textId="77777777" w:rsidR="00D37EDE" w:rsidRPr="00E25F61" w:rsidRDefault="00D37EDE" w:rsidP="00D37EDE">
            <w:pPr>
              <w:spacing w:before="0" w:after="0" w:line="240" w:lineRule="auto"/>
              <w:jc w:val="center"/>
              <w:rPr>
                <w:rFonts w:ascii="Calibri" w:eastAsia="Times New Roman" w:hAnsi="Calibri" w:cs="Calibri"/>
                <w:color w:val="000000"/>
                <w:lang w:eastAsia="en-GB"/>
              </w:rPr>
            </w:pPr>
            <w:r w:rsidRPr="00E25F61">
              <w:rPr>
                <w:rFonts w:ascii="Calibri" w:eastAsia="Times New Roman" w:hAnsi="Calibri" w:cs="Calibri"/>
                <w:color w:val="000000"/>
                <w:lang w:eastAsia="en-GB"/>
              </w:rPr>
              <w:t>60.7%</w:t>
            </w:r>
          </w:p>
        </w:tc>
        <w:tc>
          <w:tcPr>
            <w:tcW w:w="1002" w:type="dxa"/>
            <w:tcBorders>
              <w:top w:val="nil"/>
              <w:left w:val="nil"/>
              <w:bottom w:val="single" w:sz="4" w:space="0" w:color="auto"/>
              <w:right w:val="single" w:sz="4" w:space="0" w:color="auto"/>
            </w:tcBorders>
            <w:shd w:val="clear" w:color="auto" w:fill="auto"/>
            <w:noWrap/>
            <w:vAlign w:val="bottom"/>
            <w:hideMark/>
          </w:tcPr>
          <w:p w14:paraId="46100832" w14:textId="77777777" w:rsidR="00D37EDE" w:rsidRPr="00E25F61" w:rsidRDefault="00D37EDE" w:rsidP="00D37EDE">
            <w:pPr>
              <w:spacing w:before="0" w:after="0" w:line="240" w:lineRule="auto"/>
              <w:jc w:val="center"/>
              <w:rPr>
                <w:rFonts w:ascii="Calibri" w:eastAsia="Times New Roman" w:hAnsi="Calibri" w:cs="Calibri"/>
                <w:color w:val="000000"/>
                <w:lang w:eastAsia="en-GB"/>
              </w:rPr>
            </w:pPr>
            <w:r w:rsidRPr="00E25F61">
              <w:rPr>
                <w:rFonts w:ascii="Calibri" w:eastAsia="Times New Roman" w:hAnsi="Calibri" w:cs="Calibri"/>
                <w:color w:val="000000"/>
                <w:lang w:eastAsia="en-GB"/>
              </w:rPr>
              <w:t>75</w:t>
            </w:r>
          </w:p>
        </w:tc>
        <w:tc>
          <w:tcPr>
            <w:tcW w:w="764" w:type="dxa"/>
            <w:tcBorders>
              <w:top w:val="nil"/>
              <w:left w:val="nil"/>
              <w:bottom w:val="single" w:sz="4" w:space="0" w:color="auto"/>
              <w:right w:val="single" w:sz="8" w:space="0" w:color="auto"/>
            </w:tcBorders>
            <w:shd w:val="clear" w:color="auto" w:fill="auto"/>
            <w:noWrap/>
            <w:vAlign w:val="bottom"/>
            <w:hideMark/>
          </w:tcPr>
          <w:p w14:paraId="70174BC4" w14:textId="77777777" w:rsidR="00D37EDE" w:rsidRPr="00E25F61" w:rsidRDefault="00D37EDE" w:rsidP="00D37EDE">
            <w:pPr>
              <w:spacing w:before="0" w:after="0" w:line="240" w:lineRule="auto"/>
              <w:jc w:val="center"/>
              <w:rPr>
                <w:rFonts w:ascii="Calibri" w:eastAsia="Times New Roman" w:hAnsi="Calibri" w:cs="Calibri"/>
                <w:color w:val="000000"/>
                <w:lang w:eastAsia="en-GB"/>
              </w:rPr>
            </w:pPr>
            <w:r w:rsidRPr="00E25F61">
              <w:rPr>
                <w:rFonts w:ascii="Calibri" w:eastAsia="Times New Roman" w:hAnsi="Calibri" w:cs="Calibri"/>
                <w:color w:val="000000"/>
                <w:lang w:eastAsia="en-GB"/>
              </w:rPr>
              <w:t>59.5%</w:t>
            </w:r>
          </w:p>
        </w:tc>
        <w:tc>
          <w:tcPr>
            <w:tcW w:w="1002" w:type="dxa"/>
            <w:tcBorders>
              <w:top w:val="nil"/>
              <w:left w:val="nil"/>
              <w:bottom w:val="single" w:sz="4" w:space="0" w:color="auto"/>
              <w:right w:val="single" w:sz="4" w:space="0" w:color="auto"/>
            </w:tcBorders>
            <w:shd w:val="clear" w:color="auto" w:fill="auto"/>
            <w:noWrap/>
            <w:vAlign w:val="bottom"/>
            <w:hideMark/>
          </w:tcPr>
          <w:p w14:paraId="48C283BB" w14:textId="77777777" w:rsidR="00D37EDE" w:rsidRPr="00E25F61" w:rsidRDefault="00D37EDE" w:rsidP="00D37EDE">
            <w:pPr>
              <w:spacing w:before="0" w:after="0" w:line="240" w:lineRule="auto"/>
              <w:jc w:val="center"/>
              <w:rPr>
                <w:rFonts w:ascii="Calibri" w:eastAsia="Times New Roman" w:hAnsi="Calibri" w:cs="Calibri"/>
                <w:color w:val="000000"/>
                <w:lang w:eastAsia="en-GB"/>
              </w:rPr>
            </w:pPr>
            <w:r w:rsidRPr="00E25F61">
              <w:rPr>
                <w:rFonts w:ascii="Calibri" w:eastAsia="Times New Roman" w:hAnsi="Calibri" w:cs="Calibri"/>
                <w:color w:val="000000"/>
                <w:lang w:eastAsia="en-GB"/>
              </w:rPr>
              <w:t>2,539</w:t>
            </w:r>
          </w:p>
        </w:tc>
        <w:tc>
          <w:tcPr>
            <w:tcW w:w="770" w:type="dxa"/>
            <w:tcBorders>
              <w:top w:val="nil"/>
              <w:left w:val="nil"/>
              <w:bottom w:val="single" w:sz="4" w:space="0" w:color="auto"/>
              <w:right w:val="single" w:sz="4" w:space="0" w:color="auto"/>
            </w:tcBorders>
            <w:shd w:val="clear" w:color="auto" w:fill="auto"/>
            <w:noWrap/>
            <w:vAlign w:val="bottom"/>
            <w:hideMark/>
          </w:tcPr>
          <w:p w14:paraId="69447B91" w14:textId="77777777" w:rsidR="00D37EDE" w:rsidRPr="00E25F61" w:rsidRDefault="00D37EDE" w:rsidP="00D37EDE">
            <w:pPr>
              <w:spacing w:before="0" w:after="0" w:line="240" w:lineRule="auto"/>
              <w:jc w:val="center"/>
              <w:rPr>
                <w:rFonts w:ascii="Calibri" w:eastAsia="Times New Roman" w:hAnsi="Calibri" w:cs="Calibri"/>
                <w:color w:val="000000"/>
                <w:lang w:eastAsia="en-GB"/>
              </w:rPr>
            </w:pPr>
            <w:r w:rsidRPr="00E25F61">
              <w:rPr>
                <w:rFonts w:ascii="Calibri" w:eastAsia="Times New Roman" w:hAnsi="Calibri" w:cs="Calibri"/>
                <w:color w:val="000000"/>
                <w:lang w:eastAsia="en-GB"/>
              </w:rPr>
              <w:t>26.2%</w:t>
            </w:r>
          </w:p>
        </w:tc>
        <w:tc>
          <w:tcPr>
            <w:tcW w:w="1851" w:type="dxa"/>
            <w:tcBorders>
              <w:top w:val="nil"/>
              <w:left w:val="nil"/>
              <w:bottom w:val="single" w:sz="4" w:space="0" w:color="auto"/>
              <w:right w:val="single" w:sz="8" w:space="0" w:color="auto"/>
            </w:tcBorders>
            <w:shd w:val="clear" w:color="auto" w:fill="auto"/>
            <w:noWrap/>
            <w:vAlign w:val="bottom"/>
            <w:hideMark/>
          </w:tcPr>
          <w:p w14:paraId="03455354" w14:textId="77777777" w:rsidR="00D37EDE" w:rsidRPr="00E25F61" w:rsidRDefault="00D37EDE" w:rsidP="00D37EDE">
            <w:pPr>
              <w:spacing w:before="0" w:after="0" w:line="240" w:lineRule="auto"/>
              <w:jc w:val="center"/>
              <w:rPr>
                <w:rFonts w:ascii="Calibri" w:eastAsia="Times New Roman" w:hAnsi="Calibri" w:cs="Calibri"/>
                <w:color w:val="000000"/>
                <w:lang w:eastAsia="en-GB"/>
              </w:rPr>
            </w:pPr>
            <w:r w:rsidRPr="00E25F61">
              <w:rPr>
                <w:rFonts w:ascii="Calibri" w:eastAsia="Times New Roman" w:hAnsi="Calibri" w:cs="Calibri"/>
                <w:color w:val="000000"/>
                <w:lang w:eastAsia="en-GB"/>
              </w:rPr>
              <w:t>66.0%</w:t>
            </w:r>
          </w:p>
        </w:tc>
      </w:tr>
      <w:tr w:rsidR="00D37EDE" w:rsidRPr="00D37EDE" w14:paraId="4AC9D306" w14:textId="77777777" w:rsidTr="00091692">
        <w:trPr>
          <w:trHeight w:val="285"/>
        </w:trPr>
        <w:tc>
          <w:tcPr>
            <w:tcW w:w="951" w:type="dxa"/>
            <w:tcBorders>
              <w:top w:val="nil"/>
              <w:left w:val="single" w:sz="8" w:space="0" w:color="auto"/>
              <w:bottom w:val="single" w:sz="4" w:space="0" w:color="auto"/>
              <w:right w:val="nil"/>
            </w:tcBorders>
            <w:shd w:val="clear" w:color="auto" w:fill="auto"/>
            <w:noWrap/>
            <w:vAlign w:val="bottom"/>
            <w:hideMark/>
          </w:tcPr>
          <w:p w14:paraId="61944A72" w14:textId="77777777" w:rsidR="00D37EDE" w:rsidRPr="00E25F61" w:rsidRDefault="00D37EDE" w:rsidP="00D37EDE">
            <w:pPr>
              <w:spacing w:before="0" w:after="0" w:line="240" w:lineRule="auto"/>
              <w:rPr>
                <w:rFonts w:ascii="Calibri" w:eastAsia="Times New Roman" w:hAnsi="Calibri" w:cs="Calibri"/>
                <w:color w:val="000000"/>
                <w:lang w:eastAsia="en-GB"/>
              </w:rPr>
            </w:pPr>
            <w:r w:rsidRPr="00E25F61">
              <w:rPr>
                <w:rFonts w:ascii="Calibri" w:eastAsia="Times New Roman" w:hAnsi="Calibri" w:cs="Calibri"/>
                <w:color w:val="000000"/>
                <w:lang w:eastAsia="en-GB"/>
              </w:rPr>
              <w:t>Rural</w:t>
            </w:r>
          </w:p>
        </w:tc>
        <w:tc>
          <w:tcPr>
            <w:tcW w:w="1002" w:type="dxa"/>
            <w:tcBorders>
              <w:top w:val="nil"/>
              <w:left w:val="single" w:sz="8" w:space="0" w:color="auto"/>
              <w:bottom w:val="single" w:sz="4" w:space="0" w:color="auto"/>
              <w:right w:val="single" w:sz="4" w:space="0" w:color="auto"/>
            </w:tcBorders>
            <w:shd w:val="clear" w:color="auto" w:fill="auto"/>
            <w:noWrap/>
            <w:vAlign w:val="bottom"/>
            <w:hideMark/>
          </w:tcPr>
          <w:p w14:paraId="10F8DEF8" w14:textId="77777777" w:rsidR="00D37EDE" w:rsidRPr="00E25F61" w:rsidRDefault="00D37EDE" w:rsidP="00D37EDE">
            <w:pPr>
              <w:spacing w:before="0" w:after="0" w:line="240" w:lineRule="auto"/>
              <w:jc w:val="center"/>
              <w:rPr>
                <w:rFonts w:ascii="Calibri" w:eastAsia="Times New Roman" w:hAnsi="Calibri" w:cs="Calibri"/>
                <w:color w:val="000000"/>
                <w:lang w:eastAsia="en-GB"/>
              </w:rPr>
            </w:pPr>
            <w:r w:rsidRPr="00E25F61">
              <w:rPr>
                <w:rFonts w:ascii="Calibri" w:eastAsia="Times New Roman" w:hAnsi="Calibri" w:cs="Calibri"/>
                <w:color w:val="000000"/>
                <w:lang w:eastAsia="en-GB"/>
              </w:rPr>
              <w:t>39,848</w:t>
            </w:r>
          </w:p>
        </w:tc>
        <w:tc>
          <w:tcPr>
            <w:tcW w:w="764" w:type="dxa"/>
            <w:tcBorders>
              <w:top w:val="nil"/>
              <w:left w:val="nil"/>
              <w:bottom w:val="single" w:sz="4" w:space="0" w:color="auto"/>
              <w:right w:val="single" w:sz="8" w:space="0" w:color="auto"/>
            </w:tcBorders>
            <w:shd w:val="clear" w:color="auto" w:fill="auto"/>
            <w:noWrap/>
            <w:vAlign w:val="bottom"/>
            <w:hideMark/>
          </w:tcPr>
          <w:p w14:paraId="368E849F" w14:textId="77777777" w:rsidR="00D37EDE" w:rsidRPr="00E25F61" w:rsidRDefault="00D37EDE" w:rsidP="00D37EDE">
            <w:pPr>
              <w:spacing w:before="0" w:after="0" w:line="240" w:lineRule="auto"/>
              <w:jc w:val="center"/>
              <w:rPr>
                <w:rFonts w:ascii="Calibri" w:eastAsia="Times New Roman" w:hAnsi="Calibri" w:cs="Calibri"/>
                <w:color w:val="000000"/>
                <w:lang w:eastAsia="en-GB"/>
              </w:rPr>
            </w:pPr>
            <w:r w:rsidRPr="00E25F61">
              <w:rPr>
                <w:rFonts w:ascii="Calibri" w:eastAsia="Times New Roman" w:hAnsi="Calibri" w:cs="Calibri"/>
                <w:color w:val="000000"/>
                <w:lang w:eastAsia="en-GB"/>
              </w:rPr>
              <w:t>41.3%</w:t>
            </w:r>
          </w:p>
        </w:tc>
        <w:tc>
          <w:tcPr>
            <w:tcW w:w="1002" w:type="dxa"/>
            <w:tcBorders>
              <w:top w:val="nil"/>
              <w:left w:val="nil"/>
              <w:bottom w:val="single" w:sz="4" w:space="0" w:color="auto"/>
              <w:right w:val="single" w:sz="4" w:space="0" w:color="auto"/>
            </w:tcBorders>
            <w:shd w:val="clear" w:color="auto" w:fill="auto"/>
            <w:noWrap/>
            <w:vAlign w:val="bottom"/>
            <w:hideMark/>
          </w:tcPr>
          <w:p w14:paraId="148287E7" w14:textId="77777777" w:rsidR="00D37EDE" w:rsidRPr="00E25F61" w:rsidRDefault="00D37EDE" w:rsidP="00D37EDE">
            <w:pPr>
              <w:spacing w:before="0" w:after="0" w:line="240" w:lineRule="auto"/>
              <w:jc w:val="center"/>
              <w:rPr>
                <w:rFonts w:ascii="Calibri" w:eastAsia="Times New Roman" w:hAnsi="Calibri" w:cs="Calibri"/>
                <w:color w:val="000000"/>
                <w:lang w:eastAsia="en-GB"/>
              </w:rPr>
            </w:pPr>
            <w:r w:rsidRPr="00E25F61">
              <w:rPr>
                <w:rFonts w:ascii="Calibri" w:eastAsia="Times New Roman" w:hAnsi="Calibri" w:cs="Calibri"/>
                <w:color w:val="000000"/>
                <w:lang w:eastAsia="en-GB"/>
              </w:rPr>
              <w:t>6,262</w:t>
            </w:r>
          </w:p>
        </w:tc>
        <w:tc>
          <w:tcPr>
            <w:tcW w:w="764" w:type="dxa"/>
            <w:tcBorders>
              <w:top w:val="nil"/>
              <w:left w:val="nil"/>
              <w:bottom w:val="single" w:sz="4" w:space="0" w:color="auto"/>
              <w:right w:val="single" w:sz="8" w:space="0" w:color="auto"/>
            </w:tcBorders>
            <w:shd w:val="clear" w:color="auto" w:fill="auto"/>
            <w:noWrap/>
            <w:vAlign w:val="bottom"/>
            <w:hideMark/>
          </w:tcPr>
          <w:p w14:paraId="6EA46EF9" w14:textId="77777777" w:rsidR="00D37EDE" w:rsidRPr="00E25F61" w:rsidRDefault="00D37EDE" w:rsidP="00D37EDE">
            <w:pPr>
              <w:spacing w:before="0" w:after="0" w:line="240" w:lineRule="auto"/>
              <w:jc w:val="center"/>
              <w:rPr>
                <w:rFonts w:ascii="Calibri" w:eastAsia="Times New Roman" w:hAnsi="Calibri" w:cs="Calibri"/>
                <w:color w:val="000000"/>
                <w:lang w:eastAsia="en-GB"/>
              </w:rPr>
            </w:pPr>
            <w:r w:rsidRPr="00E25F61">
              <w:rPr>
                <w:rFonts w:ascii="Calibri" w:eastAsia="Times New Roman" w:hAnsi="Calibri" w:cs="Calibri"/>
                <w:color w:val="000000"/>
                <w:lang w:eastAsia="en-GB"/>
              </w:rPr>
              <w:t>39.3%</w:t>
            </w:r>
          </w:p>
        </w:tc>
        <w:tc>
          <w:tcPr>
            <w:tcW w:w="1002" w:type="dxa"/>
            <w:tcBorders>
              <w:top w:val="nil"/>
              <w:left w:val="nil"/>
              <w:bottom w:val="single" w:sz="4" w:space="0" w:color="auto"/>
              <w:right w:val="single" w:sz="4" w:space="0" w:color="auto"/>
            </w:tcBorders>
            <w:shd w:val="clear" w:color="auto" w:fill="auto"/>
            <w:noWrap/>
            <w:vAlign w:val="bottom"/>
            <w:hideMark/>
          </w:tcPr>
          <w:p w14:paraId="3542404B" w14:textId="77777777" w:rsidR="00D37EDE" w:rsidRPr="00E25F61" w:rsidRDefault="00D37EDE" w:rsidP="00D37EDE">
            <w:pPr>
              <w:spacing w:before="0" w:after="0" w:line="240" w:lineRule="auto"/>
              <w:jc w:val="center"/>
              <w:rPr>
                <w:rFonts w:ascii="Calibri" w:eastAsia="Times New Roman" w:hAnsi="Calibri" w:cs="Calibri"/>
                <w:color w:val="000000"/>
                <w:lang w:eastAsia="en-GB"/>
              </w:rPr>
            </w:pPr>
            <w:r w:rsidRPr="00E25F61">
              <w:rPr>
                <w:rFonts w:ascii="Calibri" w:eastAsia="Times New Roman" w:hAnsi="Calibri" w:cs="Calibri"/>
                <w:color w:val="000000"/>
                <w:lang w:eastAsia="en-GB"/>
              </w:rPr>
              <w:t>51</w:t>
            </w:r>
          </w:p>
        </w:tc>
        <w:tc>
          <w:tcPr>
            <w:tcW w:w="764" w:type="dxa"/>
            <w:tcBorders>
              <w:top w:val="nil"/>
              <w:left w:val="nil"/>
              <w:bottom w:val="single" w:sz="4" w:space="0" w:color="auto"/>
              <w:right w:val="single" w:sz="8" w:space="0" w:color="auto"/>
            </w:tcBorders>
            <w:shd w:val="clear" w:color="auto" w:fill="auto"/>
            <w:noWrap/>
            <w:vAlign w:val="bottom"/>
            <w:hideMark/>
          </w:tcPr>
          <w:p w14:paraId="49A93E35" w14:textId="77777777" w:rsidR="00D37EDE" w:rsidRPr="00E25F61" w:rsidRDefault="00D37EDE" w:rsidP="00D37EDE">
            <w:pPr>
              <w:spacing w:before="0" w:after="0" w:line="240" w:lineRule="auto"/>
              <w:jc w:val="center"/>
              <w:rPr>
                <w:rFonts w:ascii="Calibri" w:eastAsia="Times New Roman" w:hAnsi="Calibri" w:cs="Calibri"/>
                <w:color w:val="000000"/>
                <w:lang w:eastAsia="en-GB"/>
              </w:rPr>
            </w:pPr>
            <w:r w:rsidRPr="00E25F61">
              <w:rPr>
                <w:rFonts w:ascii="Calibri" w:eastAsia="Times New Roman" w:hAnsi="Calibri" w:cs="Calibri"/>
                <w:color w:val="000000"/>
                <w:lang w:eastAsia="en-GB"/>
              </w:rPr>
              <w:t>40.5%</w:t>
            </w:r>
          </w:p>
        </w:tc>
        <w:tc>
          <w:tcPr>
            <w:tcW w:w="1002" w:type="dxa"/>
            <w:tcBorders>
              <w:top w:val="nil"/>
              <w:left w:val="nil"/>
              <w:bottom w:val="single" w:sz="4" w:space="0" w:color="auto"/>
              <w:right w:val="single" w:sz="4" w:space="0" w:color="auto"/>
            </w:tcBorders>
            <w:shd w:val="clear" w:color="auto" w:fill="auto"/>
            <w:noWrap/>
            <w:vAlign w:val="bottom"/>
            <w:hideMark/>
          </w:tcPr>
          <w:p w14:paraId="7CC46399" w14:textId="77777777" w:rsidR="00D37EDE" w:rsidRPr="00E25F61" w:rsidRDefault="00D37EDE" w:rsidP="00D37EDE">
            <w:pPr>
              <w:spacing w:before="0" w:after="0" w:line="240" w:lineRule="auto"/>
              <w:jc w:val="center"/>
              <w:rPr>
                <w:rFonts w:ascii="Calibri" w:eastAsia="Times New Roman" w:hAnsi="Calibri" w:cs="Calibri"/>
                <w:color w:val="000000"/>
                <w:lang w:eastAsia="en-GB"/>
              </w:rPr>
            </w:pPr>
            <w:r w:rsidRPr="00E25F61">
              <w:rPr>
                <w:rFonts w:ascii="Calibri" w:eastAsia="Times New Roman" w:hAnsi="Calibri" w:cs="Calibri"/>
                <w:color w:val="000000"/>
                <w:lang w:eastAsia="en-GB"/>
              </w:rPr>
              <w:t>1,310</w:t>
            </w:r>
          </w:p>
        </w:tc>
        <w:tc>
          <w:tcPr>
            <w:tcW w:w="770" w:type="dxa"/>
            <w:tcBorders>
              <w:top w:val="nil"/>
              <w:left w:val="nil"/>
              <w:bottom w:val="single" w:sz="4" w:space="0" w:color="auto"/>
              <w:right w:val="single" w:sz="4" w:space="0" w:color="auto"/>
            </w:tcBorders>
            <w:shd w:val="clear" w:color="auto" w:fill="auto"/>
            <w:noWrap/>
            <w:vAlign w:val="bottom"/>
            <w:hideMark/>
          </w:tcPr>
          <w:p w14:paraId="152DD773" w14:textId="77777777" w:rsidR="00D37EDE" w:rsidRPr="00E25F61" w:rsidRDefault="00D37EDE" w:rsidP="00D37EDE">
            <w:pPr>
              <w:spacing w:before="0" w:after="0" w:line="240" w:lineRule="auto"/>
              <w:jc w:val="center"/>
              <w:rPr>
                <w:rFonts w:ascii="Calibri" w:eastAsia="Times New Roman" w:hAnsi="Calibri" w:cs="Calibri"/>
                <w:color w:val="000000"/>
                <w:lang w:eastAsia="en-GB"/>
              </w:rPr>
            </w:pPr>
            <w:r w:rsidRPr="00E25F61">
              <w:rPr>
                <w:rFonts w:ascii="Calibri" w:eastAsia="Times New Roman" w:hAnsi="Calibri" w:cs="Calibri"/>
                <w:color w:val="000000"/>
                <w:lang w:eastAsia="en-GB"/>
              </w:rPr>
              <w:t>20.9%</w:t>
            </w:r>
          </w:p>
        </w:tc>
        <w:tc>
          <w:tcPr>
            <w:tcW w:w="1851" w:type="dxa"/>
            <w:tcBorders>
              <w:top w:val="nil"/>
              <w:left w:val="nil"/>
              <w:bottom w:val="single" w:sz="4" w:space="0" w:color="auto"/>
              <w:right w:val="single" w:sz="8" w:space="0" w:color="auto"/>
            </w:tcBorders>
            <w:shd w:val="clear" w:color="auto" w:fill="auto"/>
            <w:noWrap/>
            <w:vAlign w:val="bottom"/>
            <w:hideMark/>
          </w:tcPr>
          <w:p w14:paraId="1AAF1BCA" w14:textId="77777777" w:rsidR="00D37EDE" w:rsidRPr="00E25F61" w:rsidRDefault="00D37EDE" w:rsidP="00D37EDE">
            <w:pPr>
              <w:spacing w:before="0" w:after="0" w:line="240" w:lineRule="auto"/>
              <w:jc w:val="center"/>
              <w:rPr>
                <w:rFonts w:ascii="Calibri" w:eastAsia="Times New Roman" w:hAnsi="Calibri" w:cs="Calibri"/>
                <w:color w:val="000000"/>
                <w:lang w:eastAsia="en-GB"/>
              </w:rPr>
            </w:pPr>
            <w:r w:rsidRPr="00E25F61">
              <w:rPr>
                <w:rFonts w:ascii="Calibri" w:eastAsia="Times New Roman" w:hAnsi="Calibri" w:cs="Calibri"/>
                <w:color w:val="000000"/>
                <w:lang w:eastAsia="en-GB"/>
              </w:rPr>
              <w:t>34.0%</w:t>
            </w:r>
          </w:p>
        </w:tc>
      </w:tr>
      <w:tr w:rsidR="00D37EDE" w:rsidRPr="00D37EDE" w14:paraId="57E9DE6B" w14:textId="77777777" w:rsidTr="00091692">
        <w:trPr>
          <w:trHeight w:val="293"/>
        </w:trPr>
        <w:tc>
          <w:tcPr>
            <w:tcW w:w="951" w:type="dxa"/>
            <w:tcBorders>
              <w:top w:val="nil"/>
              <w:left w:val="single" w:sz="8" w:space="0" w:color="auto"/>
              <w:bottom w:val="single" w:sz="8" w:space="0" w:color="auto"/>
              <w:right w:val="single" w:sz="4" w:space="0" w:color="auto"/>
            </w:tcBorders>
            <w:shd w:val="clear" w:color="000000" w:fill="000000"/>
            <w:noWrap/>
            <w:vAlign w:val="bottom"/>
            <w:hideMark/>
          </w:tcPr>
          <w:p w14:paraId="3BB16153" w14:textId="77777777" w:rsidR="00D37EDE" w:rsidRPr="00E25F61" w:rsidRDefault="00D37EDE" w:rsidP="00D37EDE">
            <w:pPr>
              <w:spacing w:before="0" w:after="0" w:line="240" w:lineRule="auto"/>
              <w:rPr>
                <w:rFonts w:ascii="Calibri" w:eastAsia="Times New Roman" w:hAnsi="Calibri" w:cs="Calibri"/>
                <w:b/>
                <w:bCs/>
                <w:color w:val="FFFFFF"/>
                <w:lang w:eastAsia="en-GB"/>
              </w:rPr>
            </w:pPr>
            <w:r w:rsidRPr="00E25F61">
              <w:rPr>
                <w:rFonts w:ascii="Calibri" w:eastAsia="Times New Roman" w:hAnsi="Calibri" w:cs="Calibri"/>
                <w:b/>
                <w:bCs/>
                <w:color w:val="FFFFFF"/>
                <w:lang w:eastAsia="en-GB"/>
              </w:rPr>
              <w:t>TOTALS</w:t>
            </w:r>
          </w:p>
        </w:tc>
        <w:tc>
          <w:tcPr>
            <w:tcW w:w="1002" w:type="dxa"/>
            <w:tcBorders>
              <w:top w:val="nil"/>
              <w:left w:val="nil"/>
              <w:bottom w:val="single" w:sz="8" w:space="0" w:color="auto"/>
              <w:right w:val="single" w:sz="4" w:space="0" w:color="auto"/>
            </w:tcBorders>
            <w:shd w:val="clear" w:color="000000" w:fill="000000"/>
            <w:noWrap/>
            <w:vAlign w:val="bottom"/>
            <w:hideMark/>
          </w:tcPr>
          <w:p w14:paraId="1EEF8652" w14:textId="77777777" w:rsidR="00D37EDE" w:rsidRPr="00E25F61" w:rsidRDefault="00D37EDE" w:rsidP="00D37EDE">
            <w:pPr>
              <w:spacing w:before="0" w:after="0" w:line="240" w:lineRule="auto"/>
              <w:jc w:val="center"/>
              <w:rPr>
                <w:rFonts w:ascii="Calibri" w:eastAsia="Times New Roman" w:hAnsi="Calibri" w:cs="Calibri"/>
                <w:b/>
                <w:bCs/>
                <w:color w:val="FFFFFF"/>
                <w:lang w:eastAsia="en-GB"/>
              </w:rPr>
            </w:pPr>
            <w:r w:rsidRPr="00E25F61">
              <w:rPr>
                <w:rFonts w:ascii="Calibri" w:eastAsia="Times New Roman" w:hAnsi="Calibri" w:cs="Calibri"/>
                <w:b/>
                <w:bCs/>
                <w:color w:val="FFFFFF"/>
                <w:lang w:eastAsia="en-GB"/>
              </w:rPr>
              <w:t>96,410</w:t>
            </w:r>
          </w:p>
        </w:tc>
        <w:tc>
          <w:tcPr>
            <w:tcW w:w="764" w:type="dxa"/>
            <w:tcBorders>
              <w:top w:val="nil"/>
              <w:left w:val="nil"/>
              <w:bottom w:val="single" w:sz="8" w:space="0" w:color="auto"/>
              <w:right w:val="single" w:sz="4" w:space="0" w:color="auto"/>
            </w:tcBorders>
            <w:shd w:val="clear" w:color="000000" w:fill="000000"/>
            <w:noWrap/>
            <w:vAlign w:val="bottom"/>
            <w:hideMark/>
          </w:tcPr>
          <w:p w14:paraId="6600B11B" w14:textId="77777777" w:rsidR="00D37EDE" w:rsidRPr="00E25F61" w:rsidRDefault="00D37EDE" w:rsidP="00D37EDE">
            <w:pPr>
              <w:spacing w:before="0" w:after="0" w:line="240" w:lineRule="auto"/>
              <w:jc w:val="center"/>
              <w:rPr>
                <w:rFonts w:ascii="Calibri" w:eastAsia="Times New Roman" w:hAnsi="Calibri" w:cs="Calibri"/>
                <w:b/>
                <w:bCs/>
                <w:color w:val="FFFFFF"/>
                <w:lang w:eastAsia="en-GB"/>
              </w:rPr>
            </w:pPr>
            <w:r w:rsidRPr="00E25F61">
              <w:rPr>
                <w:rFonts w:ascii="Calibri" w:eastAsia="Times New Roman" w:hAnsi="Calibri" w:cs="Calibri"/>
                <w:b/>
                <w:bCs/>
                <w:color w:val="FFFFFF"/>
                <w:lang w:eastAsia="en-GB"/>
              </w:rPr>
              <w:t> </w:t>
            </w:r>
          </w:p>
        </w:tc>
        <w:tc>
          <w:tcPr>
            <w:tcW w:w="1002" w:type="dxa"/>
            <w:tcBorders>
              <w:top w:val="nil"/>
              <w:left w:val="nil"/>
              <w:bottom w:val="single" w:sz="8" w:space="0" w:color="auto"/>
              <w:right w:val="single" w:sz="4" w:space="0" w:color="auto"/>
            </w:tcBorders>
            <w:shd w:val="clear" w:color="000000" w:fill="000000"/>
            <w:noWrap/>
            <w:vAlign w:val="bottom"/>
            <w:hideMark/>
          </w:tcPr>
          <w:p w14:paraId="4397574A" w14:textId="77777777" w:rsidR="00D37EDE" w:rsidRPr="00E25F61" w:rsidRDefault="00D37EDE" w:rsidP="00D37EDE">
            <w:pPr>
              <w:spacing w:before="0" w:after="0" w:line="240" w:lineRule="auto"/>
              <w:jc w:val="center"/>
              <w:rPr>
                <w:rFonts w:ascii="Calibri" w:eastAsia="Times New Roman" w:hAnsi="Calibri" w:cs="Calibri"/>
                <w:b/>
                <w:bCs/>
                <w:color w:val="FFFFFF"/>
                <w:lang w:eastAsia="en-GB"/>
              </w:rPr>
            </w:pPr>
            <w:r w:rsidRPr="00E25F61">
              <w:rPr>
                <w:rFonts w:ascii="Calibri" w:eastAsia="Times New Roman" w:hAnsi="Calibri" w:cs="Calibri"/>
                <w:b/>
                <w:bCs/>
                <w:color w:val="FFFFFF"/>
                <w:lang w:eastAsia="en-GB"/>
              </w:rPr>
              <w:t>15,941</w:t>
            </w:r>
          </w:p>
        </w:tc>
        <w:tc>
          <w:tcPr>
            <w:tcW w:w="764" w:type="dxa"/>
            <w:tcBorders>
              <w:top w:val="nil"/>
              <w:left w:val="nil"/>
              <w:bottom w:val="single" w:sz="8" w:space="0" w:color="auto"/>
              <w:right w:val="single" w:sz="4" w:space="0" w:color="auto"/>
            </w:tcBorders>
            <w:shd w:val="clear" w:color="000000" w:fill="000000"/>
            <w:noWrap/>
            <w:vAlign w:val="bottom"/>
            <w:hideMark/>
          </w:tcPr>
          <w:p w14:paraId="1FFC7CBD" w14:textId="77777777" w:rsidR="00D37EDE" w:rsidRPr="00E25F61" w:rsidRDefault="00D37EDE" w:rsidP="00D37EDE">
            <w:pPr>
              <w:spacing w:before="0" w:after="0" w:line="240" w:lineRule="auto"/>
              <w:jc w:val="center"/>
              <w:rPr>
                <w:rFonts w:ascii="Calibri" w:eastAsia="Times New Roman" w:hAnsi="Calibri" w:cs="Calibri"/>
                <w:b/>
                <w:bCs/>
                <w:color w:val="FFFFFF"/>
                <w:lang w:eastAsia="en-GB"/>
              </w:rPr>
            </w:pPr>
            <w:r w:rsidRPr="00E25F61">
              <w:rPr>
                <w:rFonts w:ascii="Calibri" w:eastAsia="Times New Roman" w:hAnsi="Calibri" w:cs="Calibri"/>
                <w:b/>
                <w:bCs/>
                <w:color w:val="FFFFFF"/>
                <w:lang w:eastAsia="en-GB"/>
              </w:rPr>
              <w:t> </w:t>
            </w:r>
          </w:p>
        </w:tc>
        <w:tc>
          <w:tcPr>
            <w:tcW w:w="1002" w:type="dxa"/>
            <w:tcBorders>
              <w:top w:val="nil"/>
              <w:left w:val="nil"/>
              <w:bottom w:val="single" w:sz="8" w:space="0" w:color="auto"/>
              <w:right w:val="single" w:sz="4" w:space="0" w:color="auto"/>
            </w:tcBorders>
            <w:shd w:val="clear" w:color="000000" w:fill="000000"/>
            <w:noWrap/>
            <w:vAlign w:val="bottom"/>
            <w:hideMark/>
          </w:tcPr>
          <w:p w14:paraId="344A23BF" w14:textId="77777777" w:rsidR="00D37EDE" w:rsidRPr="00E25F61" w:rsidRDefault="00D37EDE" w:rsidP="00D37EDE">
            <w:pPr>
              <w:spacing w:before="0" w:after="0" w:line="240" w:lineRule="auto"/>
              <w:jc w:val="center"/>
              <w:rPr>
                <w:rFonts w:ascii="Calibri" w:eastAsia="Times New Roman" w:hAnsi="Calibri" w:cs="Calibri"/>
                <w:b/>
                <w:bCs/>
                <w:color w:val="FFFFFF"/>
                <w:lang w:eastAsia="en-GB"/>
              </w:rPr>
            </w:pPr>
            <w:r w:rsidRPr="00E25F61">
              <w:rPr>
                <w:rFonts w:ascii="Calibri" w:eastAsia="Times New Roman" w:hAnsi="Calibri" w:cs="Calibri"/>
                <w:b/>
                <w:bCs/>
                <w:color w:val="FFFFFF"/>
                <w:lang w:eastAsia="en-GB"/>
              </w:rPr>
              <w:t>126</w:t>
            </w:r>
          </w:p>
        </w:tc>
        <w:tc>
          <w:tcPr>
            <w:tcW w:w="764" w:type="dxa"/>
            <w:tcBorders>
              <w:top w:val="nil"/>
              <w:left w:val="nil"/>
              <w:bottom w:val="single" w:sz="8" w:space="0" w:color="auto"/>
              <w:right w:val="single" w:sz="4" w:space="0" w:color="auto"/>
            </w:tcBorders>
            <w:shd w:val="clear" w:color="000000" w:fill="000000"/>
            <w:noWrap/>
            <w:vAlign w:val="bottom"/>
            <w:hideMark/>
          </w:tcPr>
          <w:p w14:paraId="1B4A1BFF" w14:textId="77777777" w:rsidR="00D37EDE" w:rsidRPr="00E25F61" w:rsidRDefault="00D37EDE" w:rsidP="00D37EDE">
            <w:pPr>
              <w:spacing w:before="0" w:after="0" w:line="240" w:lineRule="auto"/>
              <w:jc w:val="center"/>
              <w:rPr>
                <w:rFonts w:ascii="Calibri" w:eastAsia="Times New Roman" w:hAnsi="Calibri" w:cs="Calibri"/>
                <w:b/>
                <w:bCs/>
                <w:color w:val="FFFFFF"/>
                <w:lang w:eastAsia="en-GB"/>
              </w:rPr>
            </w:pPr>
            <w:r w:rsidRPr="00E25F61">
              <w:rPr>
                <w:rFonts w:ascii="Calibri" w:eastAsia="Times New Roman" w:hAnsi="Calibri" w:cs="Calibri"/>
                <w:b/>
                <w:bCs/>
                <w:color w:val="FFFFFF"/>
                <w:lang w:eastAsia="en-GB"/>
              </w:rPr>
              <w:t> </w:t>
            </w:r>
          </w:p>
        </w:tc>
        <w:tc>
          <w:tcPr>
            <w:tcW w:w="1002" w:type="dxa"/>
            <w:tcBorders>
              <w:top w:val="nil"/>
              <w:left w:val="nil"/>
              <w:bottom w:val="single" w:sz="8" w:space="0" w:color="auto"/>
              <w:right w:val="single" w:sz="4" w:space="0" w:color="auto"/>
            </w:tcBorders>
            <w:shd w:val="clear" w:color="000000" w:fill="000000"/>
            <w:noWrap/>
            <w:vAlign w:val="bottom"/>
            <w:hideMark/>
          </w:tcPr>
          <w:p w14:paraId="0520D5AA" w14:textId="77777777" w:rsidR="00D37EDE" w:rsidRPr="00E25F61" w:rsidRDefault="00D37EDE" w:rsidP="00D37EDE">
            <w:pPr>
              <w:spacing w:before="0" w:after="0" w:line="240" w:lineRule="auto"/>
              <w:jc w:val="center"/>
              <w:rPr>
                <w:rFonts w:ascii="Calibri" w:eastAsia="Times New Roman" w:hAnsi="Calibri" w:cs="Calibri"/>
                <w:b/>
                <w:bCs/>
                <w:color w:val="FFFFFF"/>
                <w:lang w:eastAsia="en-GB"/>
              </w:rPr>
            </w:pPr>
            <w:r w:rsidRPr="00E25F61">
              <w:rPr>
                <w:rFonts w:ascii="Calibri" w:eastAsia="Times New Roman" w:hAnsi="Calibri" w:cs="Calibri"/>
                <w:b/>
                <w:bCs/>
                <w:color w:val="FFFFFF"/>
                <w:lang w:eastAsia="en-GB"/>
              </w:rPr>
              <w:t>3,849</w:t>
            </w:r>
          </w:p>
        </w:tc>
        <w:tc>
          <w:tcPr>
            <w:tcW w:w="770" w:type="dxa"/>
            <w:tcBorders>
              <w:top w:val="nil"/>
              <w:left w:val="nil"/>
              <w:bottom w:val="single" w:sz="8" w:space="0" w:color="auto"/>
              <w:right w:val="single" w:sz="4" w:space="0" w:color="auto"/>
            </w:tcBorders>
            <w:shd w:val="clear" w:color="000000" w:fill="000000"/>
            <w:noWrap/>
            <w:vAlign w:val="bottom"/>
            <w:hideMark/>
          </w:tcPr>
          <w:p w14:paraId="57B18DEF" w14:textId="77777777" w:rsidR="00D37EDE" w:rsidRPr="00E25F61" w:rsidRDefault="00D37EDE" w:rsidP="00D37EDE">
            <w:pPr>
              <w:spacing w:before="0" w:after="0" w:line="240" w:lineRule="auto"/>
              <w:jc w:val="center"/>
              <w:rPr>
                <w:rFonts w:ascii="Calibri" w:eastAsia="Times New Roman" w:hAnsi="Calibri" w:cs="Calibri"/>
                <w:b/>
                <w:bCs/>
                <w:color w:val="FFFFFF"/>
                <w:lang w:eastAsia="en-GB"/>
              </w:rPr>
            </w:pPr>
            <w:r w:rsidRPr="00E25F61">
              <w:rPr>
                <w:rFonts w:ascii="Calibri" w:eastAsia="Times New Roman" w:hAnsi="Calibri" w:cs="Calibri"/>
                <w:b/>
                <w:bCs/>
                <w:color w:val="FFFFFF"/>
                <w:lang w:eastAsia="en-GB"/>
              </w:rPr>
              <w:t>24.1%</w:t>
            </w:r>
          </w:p>
        </w:tc>
        <w:tc>
          <w:tcPr>
            <w:tcW w:w="1851" w:type="dxa"/>
            <w:tcBorders>
              <w:top w:val="nil"/>
              <w:left w:val="nil"/>
              <w:bottom w:val="single" w:sz="8" w:space="0" w:color="auto"/>
              <w:right w:val="single" w:sz="8" w:space="0" w:color="auto"/>
            </w:tcBorders>
            <w:shd w:val="clear" w:color="000000" w:fill="000000"/>
            <w:noWrap/>
            <w:vAlign w:val="bottom"/>
            <w:hideMark/>
          </w:tcPr>
          <w:p w14:paraId="519EE5FC" w14:textId="77777777" w:rsidR="00D37EDE" w:rsidRPr="00E25F61" w:rsidRDefault="00D37EDE" w:rsidP="00D37EDE">
            <w:pPr>
              <w:spacing w:before="0" w:after="0" w:line="240" w:lineRule="auto"/>
              <w:jc w:val="center"/>
              <w:rPr>
                <w:rFonts w:ascii="Calibri" w:eastAsia="Times New Roman" w:hAnsi="Calibri" w:cs="Calibri"/>
                <w:b/>
                <w:bCs/>
                <w:color w:val="FFFFFF"/>
                <w:lang w:eastAsia="en-GB"/>
              </w:rPr>
            </w:pPr>
            <w:r w:rsidRPr="00E25F61">
              <w:rPr>
                <w:rFonts w:ascii="Calibri" w:eastAsia="Times New Roman" w:hAnsi="Calibri" w:cs="Calibri"/>
                <w:b/>
                <w:bCs/>
                <w:color w:val="FFFFFF"/>
                <w:lang w:eastAsia="en-GB"/>
              </w:rPr>
              <w:t> </w:t>
            </w:r>
          </w:p>
        </w:tc>
      </w:tr>
    </w:tbl>
    <w:p w14:paraId="4B03DFE6" w14:textId="45B17A38" w:rsidR="00D37EDE" w:rsidRPr="00D37EDE" w:rsidRDefault="00D37EDE" w:rsidP="00D37EDE">
      <w:pPr>
        <w:sectPr w:rsidR="00D37EDE" w:rsidRPr="00D37EDE" w:rsidSect="00140B39">
          <w:pgSz w:w="11906" w:h="16838"/>
          <w:pgMar w:top="1134" w:right="1134" w:bottom="1134" w:left="1134" w:header="709" w:footer="709" w:gutter="0"/>
          <w:cols w:space="708"/>
          <w:docGrid w:linePitch="360"/>
        </w:sectPr>
      </w:pPr>
    </w:p>
    <w:p w14:paraId="30C6E900" w14:textId="2219BC05" w:rsidR="003438DD" w:rsidRDefault="007A613A" w:rsidP="007A613A">
      <w:pPr>
        <w:pStyle w:val="Heading2"/>
      </w:pPr>
      <w:r>
        <w:lastRenderedPageBreak/>
        <w:t xml:space="preserve">Table </w:t>
      </w:r>
      <w:r w:rsidR="004A1CF9">
        <w:t>2</w:t>
      </w:r>
      <w:r>
        <w:t>: analysis by intermediate zone</w:t>
      </w:r>
    </w:p>
    <w:p w14:paraId="452604FB" w14:textId="4215417A" w:rsidR="00425E44" w:rsidRPr="00091692" w:rsidRDefault="007A613A" w:rsidP="002A5F5B">
      <w:r w:rsidRPr="00091692">
        <w:t xml:space="preserve">Moray has 24 Intermediate Zones with an average population of 4,000 residents and an average of 664 children aged 0-15. </w:t>
      </w:r>
      <w:r w:rsidR="001A6D1D" w:rsidRPr="00091692">
        <w:t xml:space="preserve">The top </w:t>
      </w:r>
      <w:r w:rsidR="00807D55" w:rsidRPr="00091692">
        <w:t>seven</w:t>
      </w:r>
      <w:r w:rsidR="001A6D1D" w:rsidRPr="00091692">
        <w:t xml:space="preserve"> ranked Intermediate Zones are </w:t>
      </w:r>
      <w:r w:rsidR="00880F4C" w:rsidRPr="00091692">
        <w:t xml:space="preserve">all </w:t>
      </w:r>
      <w:r w:rsidR="001A6D1D" w:rsidRPr="00091692">
        <w:t xml:space="preserve">urban </w:t>
      </w:r>
      <w:r w:rsidR="00E55ADD" w:rsidRPr="00091692">
        <w:t xml:space="preserve">and </w:t>
      </w:r>
      <w:r w:rsidR="00880F4C" w:rsidRPr="00091692">
        <w:t>whilst</w:t>
      </w:r>
      <w:r w:rsidR="001A6D1D" w:rsidRPr="00091692">
        <w:t xml:space="preserve"> </w:t>
      </w:r>
      <w:r w:rsidR="00880F4C" w:rsidRPr="00091692">
        <w:t xml:space="preserve">having </w:t>
      </w:r>
      <w:r w:rsidR="001A6D1D" w:rsidRPr="00091692">
        <w:t>31.1% of the 0-15 population</w:t>
      </w:r>
      <w:r w:rsidR="00467BFB" w:rsidRPr="00091692">
        <w:t>,</w:t>
      </w:r>
      <w:r w:rsidR="00091692" w:rsidRPr="00091692">
        <w:t xml:space="preserve"> they </w:t>
      </w:r>
      <w:r w:rsidR="00467BFB" w:rsidRPr="00091692">
        <w:t xml:space="preserve">also </w:t>
      </w:r>
      <w:r w:rsidR="00880F4C" w:rsidRPr="00091692">
        <w:t>have</w:t>
      </w:r>
      <w:r w:rsidR="00E55ADD" w:rsidRPr="00091692">
        <w:t xml:space="preserve"> </w:t>
      </w:r>
      <w:r w:rsidR="00F601C2" w:rsidRPr="00091692">
        <w:t>43.3%</w:t>
      </w:r>
      <w:r w:rsidR="00880F4C" w:rsidRPr="00091692">
        <w:t xml:space="preserve"> (1,666/3,849)</w:t>
      </w:r>
      <w:r w:rsidR="00F601C2" w:rsidRPr="00091692">
        <w:t xml:space="preserve"> </w:t>
      </w:r>
      <w:r w:rsidR="00E55ADD" w:rsidRPr="00091692">
        <w:t xml:space="preserve">of all Moray children estimated to be </w:t>
      </w:r>
      <w:r w:rsidR="00F601C2" w:rsidRPr="00091692">
        <w:t>living in poverty</w:t>
      </w:r>
      <w:r w:rsidR="001A6D1D" w:rsidRPr="00091692">
        <w:t>. The average SIMD2020 decile ranking</w:t>
      </w:r>
      <w:r w:rsidR="00A3157C" w:rsidRPr="00091692">
        <w:rPr>
          <w:rStyle w:val="FootnoteReference"/>
        </w:rPr>
        <w:footnoteReference w:id="7"/>
      </w:r>
      <w:r w:rsidR="001A6D1D" w:rsidRPr="00091692">
        <w:t xml:space="preserve"> shows that both the most and least deprived areas are urban</w:t>
      </w:r>
      <w:r w:rsidR="00880F4C" w:rsidRPr="00091692">
        <w:t xml:space="preserve">. </w:t>
      </w:r>
      <w:r w:rsidR="00A3157C" w:rsidRPr="00091692">
        <w:t>The</w:t>
      </w:r>
      <w:r w:rsidR="001A6D1D" w:rsidRPr="00091692">
        <w:t xml:space="preserve"> average ranking for </w:t>
      </w:r>
      <w:r w:rsidR="00F70CC4" w:rsidRPr="00091692">
        <w:t xml:space="preserve">all </w:t>
      </w:r>
      <w:r w:rsidR="001A6D1D" w:rsidRPr="00091692">
        <w:t xml:space="preserve">urban </w:t>
      </w:r>
      <w:r w:rsidR="00A3157C" w:rsidRPr="00091692">
        <w:t>Intermediate Zones</w:t>
      </w:r>
      <w:r w:rsidR="001A6D1D" w:rsidRPr="00091692">
        <w:t xml:space="preserve"> </w:t>
      </w:r>
      <w:r w:rsidR="00731723" w:rsidRPr="00091692">
        <w:t>is 6, with rural Intermediate Zones ranking 7</w:t>
      </w:r>
      <w:r w:rsidR="000A03BA" w:rsidRPr="00091692">
        <w:t xml:space="preserve">, showing </w:t>
      </w:r>
      <w:r w:rsidR="00F70CC4" w:rsidRPr="00091692">
        <w:t>urban Intermediate Zones as more deprived and evidencing the linkages between deprivation and poverty.</w:t>
      </w:r>
      <w:r w:rsidR="000A03BA" w:rsidRPr="00091692">
        <w:t xml:space="preserve"> </w:t>
      </w:r>
      <w:r w:rsidR="00DE062C" w:rsidRPr="00091692">
        <w:t>These average Intermediate Zone rankings are based on the aggregation of Data Zone rankings and don’t show the difference</w:t>
      </w:r>
      <w:r w:rsidR="00425E44" w:rsidRPr="00091692">
        <w:t>s</w:t>
      </w:r>
      <w:r w:rsidR="00DE062C" w:rsidRPr="00091692">
        <w:t xml:space="preserve"> between urban and rural areas as accurately as Data Zone level data does. Urban areas of Moray have 10 Data Zones within the most 30% </w:t>
      </w:r>
      <w:r w:rsidR="00425E44" w:rsidRPr="00091692">
        <w:t xml:space="preserve">(Deciles 1-3) </w:t>
      </w:r>
      <w:r w:rsidR="00DE062C" w:rsidRPr="00091692">
        <w:t>deprived areas of Scotland</w:t>
      </w:r>
      <w:r w:rsidR="00467BFB" w:rsidRPr="00091692">
        <w:t>. C</w:t>
      </w:r>
      <w:r w:rsidR="00DE062C" w:rsidRPr="00091692">
        <w:t xml:space="preserve">onversely rural areas have only one. </w:t>
      </w:r>
    </w:p>
    <w:p w14:paraId="53541A62" w14:textId="6A3A4444" w:rsidR="00824DDF" w:rsidRPr="00091692" w:rsidRDefault="000A03BA" w:rsidP="00091692">
      <w:pPr>
        <w:spacing w:after="0"/>
        <w:rPr>
          <w:rFonts w:ascii="Calibri" w:eastAsia="Times New Roman" w:hAnsi="Calibri" w:cs="Calibri"/>
          <w:color w:val="000000"/>
          <w:lang w:eastAsia="en-GB"/>
        </w:rPr>
      </w:pPr>
      <w:r w:rsidRPr="00091692">
        <w:rPr>
          <w:rFonts w:ascii="Calibri" w:hAnsi="Calibri" w:cs="Calibri"/>
        </w:rPr>
        <w:t xml:space="preserve">Of the 24 Intermediate Zones, rankings for </w:t>
      </w:r>
      <w:r w:rsidR="0041642A">
        <w:rPr>
          <w:rFonts w:ascii="Calibri" w:hAnsi="Calibri" w:cs="Calibri"/>
        </w:rPr>
        <w:t>nine</w:t>
      </w:r>
      <w:r w:rsidRPr="00091692">
        <w:rPr>
          <w:rFonts w:ascii="Calibri" w:hAnsi="Calibri" w:cs="Calibri"/>
        </w:rPr>
        <w:t xml:space="preserve"> have worsened, </w:t>
      </w:r>
      <w:r w:rsidR="0041642A">
        <w:rPr>
          <w:rFonts w:ascii="Calibri" w:hAnsi="Calibri" w:cs="Calibri"/>
        </w:rPr>
        <w:t>nine</w:t>
      </w:r>
      <w:r w:rsidRPr="00091692">
        <w:rPr>
          <w:rFonts w:ascii="Calibri" w:hAnsi="Calibri" w:cs="Calibri"/>
        </w:rPr>
        <w:t xml:space="preserve"> have improved and </w:t>
      </w:r>
      <w:r w:rsidR="0041642A">
        <w:rPr>
          <w:rFonts w:ascii="Calibri" w:hAnsi="Calibri" w:cs="Calibri"/>
        </w:rPr>
        <w:t>six</w:t>
      </w:r>
      <w:r w:rsidRPr="00091692">
        <w:rPr>
          <w:rFonts w:ascii="Calibri" w:hAnsi="Calibri" w:cs="Calibri"/>
        </w:rPr>
        <w:t xml:space="preserve"> have remained the same since the initial analysis was carried out</w:t>
      </w:r>
      <w:r w:rsidR="00494413" w:rsidRPr="00091692">
        <w:rPr>
          <w:rFonts w:ascii="Calibri" w:hAnsi="Calibri" w:cs="Calibri"/>
        </w:rPr>
        <w:t xml:space="preserve"> in </w:t>
      </w:r>
      <w:r w:rsidR="00153F50" w:rsidRPr="00091692">
        <w:rPr>
          <w:rFonts w:ascii="Calibri" w:hAnsi="Calibri" w:cs="Calibri"/>
        </w:rPr>
        <w:t>late 2022</w:t>
      </w:r>
      <w:r w:rsidRPr="00091692">
        <w:rPr>
          <w:rFonts w:ascii="Calibri" w:hAnsi="Calibri" w:cs="Calibri"/>
        </w:rPr>
        <w:t>.</w:t>
      </w:r>
      <w:r w:rsidR="00807D55" w:rsidRPr="00091692">
        <w:rPr>
          <w:rFonts w:ascii="Calibri" w:hAnsi="Calibri" w:cs="Calibri"/>
        </w:rPr>
        <w:t xml:space="preserve"> The top seven Intermediate Zones remain the same, but Elgin Cathedral to Ashgrove and </w:t>
      </w:r>
      <w:proofErr w:type="spellStart"/>
      <w:r w:rsidR="00807D55" w:rsidRPr="00091692">
        <w:rPr>
          <w:rFonts w:ascii="Calibri" w:hAnsi="Calibri" w:cs="Calibri"/>
        </w:rPr>
        <w:t>Pinefield</w:t>
      </w:r>
      <w:proofErr w:type="spellEnd"/>
      <w:r w:rsidR="00807D55" w:rsidRPr="00091692">
        <w:rPr>
          <w:rFonts w:ascii="Calibri" w:hAnsi="Calibri" w:cs="Calibri"/>
        </w:rPr>
        <w:t xml:space="preserve"> has replaced Forres </w:t>
      </w:r>
      <w:proofErr w:type="gramStart"/>
      <w:r w:rsidR="00807D55" w:rsidRPr="00091692">
        <w:rPr>
          <w:rFonts w:ascii="Calibri" w:hAnsi="Calibri" w:cs="Calibri"/>
        </w:rPr>
        <w:t>South West</w:t>
      </w:r>
      <w:proofErr w:type="gramEnd"/>
      <w:r w:rsidR="00807D55" w:rsidRPr="00091692">
        <w:rPr>
          <w:rFonts w:ascii="Calibri" w:hAnsi="Calibri" w:cs="Calibri"/>
        </w:rPr>
        <w:t xml:space="preserve"> and Mannachie as having the lowest accumulated score. Although this would appear to show little change from the previous year the estimated levels of poverty/ financial vulnerability have increased significantly in all but five </w:t>
      </w:r>
      <w:r w:rsidR="007A37D1" w:rsidRPr="00091692">
        <w:rPr>
          <w:rFonts w:ascii="Calibri" w:hAnsi="Calibri" w:cs="Calibri"/>
        </w:rPr>
        <w:t xml:space="preserve">Intermediate </w:t>
      </w:r>
      <w:r w:rsidR="00807D55" w:rsidRPr="00091692">
        <w:rPr>
          <w:rFonts w:ascii="Calibri" w:hAnsi="Calibri" w:cs="Calibri"/>
        </w:rPr>
        <w:t>zones.</w:t>
      </w:r>
      <w:r w:rsidR="000341FC" w:rsidRPr="00091692">
        <w:rPr>
          <w:rFonts w:ascii="Calibri" w:hAnsi="Calibri" w:cs="Calibri"/>
        </w:rPr>
        <w:t xml:space="preserve"> The percentage change in Estimated Relative Child Poverty is expressed as an increase or decrease from the number of children </w:t>
      </w:r>
      <w:r w:rsidR="00F90951" w:rsidRPr="00091692">
        <w:rPr>
          <w:rFonts w:ascii="Calibri" w:hAnsi="Calibri" w:cs="Calibri"/>
        </w:rPr>
        <w:t>recorded in</w:t>
      </w:r>
      <w:r w:rsidR="000341FC" w:rsidRPr="00091692">
        <w:rPr>
          <w:rFonts w:ascii="Calibri" w:hAnsi="Calibri" w:cs="Calibri"/>
        </w:rPr>
        <w:t xml:space="preserve"> the previous year (2020/21).</w:t>
      </w:r>
      <w:r w:rsidR="00F90951" w:rsidRPr="00091692">
        <w:rPr>
          <w:rFonts w:ascii="Calibri" w:hAnsi="Calibri" w:cs="Calibri"/>
        </w:rPr>
        <w:t xml:space="preserve"> Significant rises have been witnessed in Elgin Cathedral to Ashgrove and </w:t>
      </w:r>
      <w:proofErr w:type="spellStart"/>
      <w:r w:rsidR="00F90951" w:rsidRPr="00091692">
        <w:rPr>
          <w:rFonts w:ascii="Calibri" w:hAnsi="Calibri" w:cs="Calibri"/>
        </w:rPr>
        <w:t>Pinefield</w:t>
      </w:r>
      <w:proofErr w:type="spellEnd"/>
      <w:r w:rsidR="00F90951" w:rsidRPr="00091692">
        <w:rPr>
          <w:rFonts w:ascii="Calibri" w:hAnsi="Calibri" w:cs="Calibri"/>
        </w:rPr>
        <w:t xml:space="preserve"> (12.1%) and </w:t>
      </w:r>
      <w:r w:rsidR="00F90951" w:rsidRPr="00091692">
        <w:rPr>
          <w:rFonts w:ascii="Calibri" w:eastAsia="Times New Roman" w:hAnsi="Calibri" w:cs="Calibri"/>
          <w:color w:val="000000"/>
          <w:lang w:eastAsia="en-GB"/>
        </w:rPr>
        <w:t xml:space="preserve">Lossiemouth East and </w:t>
      </w:r>
      <w:proofErr w:type="spellStart"/>
      <w:r w:rsidR="00F90951" w:rsidRPr="00091692">
        <w:rPr>
          <w:rFonts w:ascii="Calibri" w:eastAsia="Times New Roman" w:hAnsi="Calibri" w:cs="Calibri"/>
          <w:color w:val="000000"/>
          <w:lang w:eastAsia="en-GB"/>
        </w:rPr>
        <w:t>Seatown</w:t>
      </w:r>
      <w:proofErr w:type="spellEnd"/>
      <w:r w:rsidR="00F90951" w:rsidRPr="00091692">
        <w:rPr>
          <w:rFonts w:ascii="Calibri" w:eastAsia="Times New Roman" w:hAnsi="Calibri" w:cs="Calibri"/>
          <w:color w:val="000000"/>
          <w:lang w:eastAsia="en-GB"/>
        </w:rPr>
        <w:t xml:space="preserve"> (13.6%). Overall</w:t>
      </w:r>
      <w:r w:rsidR="00494413" w:rsidRPr="00091692">
        <w:rPr>
          <w:rFonts w:ascii="Calibri" w:eastAsia="Times New Roman" w:hAnsi="Calibri" w:cs="Calibri"/>
          <w:color w:val="000000"/>
          <w:lang w:eastAsia="en-GB"/>
        </w:rPr>
        <w:t>,</w:t>
      </w:r>
      <w:r w:rsidR="00F90951" w:rsidRPr="00091692">
        <w:rPr>
          <w:rFonts w:ascii="Calibri" w:eastAsia="Times New Roman" w:hAnsi="Calibri" w:cs="Calibri"/>
          <w:color w:val="000000"/>
          <w:lang w:eastAsia="en-GB"/>
        </w:rPr>
        <w:t xml:space="preserve"> the data shows the estimated number of children aged 0-15 living in </w:t>
      </w:r>
      <w:r w:rsidR="00F2231C" w:rsidRPr="00091692">
        <w:rPr>
          <w:rFonts w:ascii="Calibri" w:eastAsia="Times New Roman" w:hAnsi="Calibri" w:cs="Calibri"/>
          <w:color w:val="000000"/>
          <w:lang w:eastAsia="en-GB"/>
        </w:rPr>
        <w:t>p</w:t>
      </w:r>
      <w:r w:rsidR="00F90951" w:rsidRPr="00091692">
        <w:rPr>
          <w:rFonts w:ascii="Calibri" w:eastAsia="Times New Roman" w:hAnsi="Calibri" w:cs="Calibri"/>
          <w:color w:val="000000"/>
          <w:lang w:eastAsia="en-GB"/>
        </w:rPr>
        <w:t xml:space="preserve">overty has increased by 470 children </w:t>
      </w:r>
      <w:r w:rsidR="004B05C1">
        <w:rPr>
          <w:rFonts w:ascii="Calibri" w:eastAsia="Times New Roman" w:hAnsi="Calibri" w:cs="Calibri"/>
          <w:color w:val="000000"/>
          <w:lang w:eastAsia="en-GB"/>
        </w:rPr>
        <w:t>from 3,379 to 3,849</w:t>
      </w:r>
      <w:r w:rsidR="00F03473">
        <w:rPr>
          <w:rFonts w:ascii="Calibri" w:eastAsia="Times New Roman" w:hAnsi="Calibri" w:cs="Calibri"/>
          <w:color w:val="000000"/>
          <w:lang w:eastAsia="en-GB"/>
        </w:rPr>
        <w:t xml:space="preserve"> </w:t>
      </w:r>
      <w:r w:rsidR="00F90951" w:rsidRPr="00091692">
        <w:rPr>
          <w:rFonts w:ascii="Calibri" w:eastAsia="Times New Roman" w:hAnsi="Calibri" w:cs="Calibri"/>
          <w:color w:val="000000"/>
          <w:lang w:eastAsia="en-GB"/>
        </w:rPr>
        <w:t>(13.9%</w:t>
      </w:r>
      <w:r w:rsidR="004B05C1">
        <w:rPr>
          <w:rFonts w:ascii="Calibri" w:eastAsia="Times New Roman" w:hAnsi="Calibri" w:cs="Calibri"/>
          <w:color w:val="000000"/>
          <w:lang w:eastAsia="en-GB"/>
        </w:rPr>
        <w:t xml:space="preserve"> increase in children</w:t>
      </w:r>
      <w:r w:rsidR="00F90951" w:rsidRPr="00091692">
        <w:rPr>
          <w:rFonts w:ascii="Calibri" w:eastAsia="Times New Roman" w:hAnsi="Calibri" w:cs="Calibri"/>
          <w:color w:val="000000"/>
          <w:lang w:eastAsia="en-GB"/>
        </w:rPr>
        <w:t>)</w:t>
      </w:r>
      <w:r w:rsidR="007A37D1" w:rsidRPr="00091692">
        <w:rPr>
          <w:rFonts w:ascii="Calibri" w:eastAsia="Times New Roman" w:hAnsi="Calibri" w:cs="Calibri"/>
          <w:color w:val="000000"/>
          <w:lang w:eastAsia="en-GB"/>
        </w:rPr>
        <w:t xml:space="preserve"> between 2020/21 and 2021/22</w:t>
      </w:r>
      <w:r w:rsidR="00F90951" w:rsidRPr="00091692">
        <w:rPr>
          <w:rFonts w:ascii="Calibri" w:eastAsia="Times New Roman" w:hAnsi="Calibri" w:cs="Calibri"/>
          <w:color w:val="000000"/>
          <w:lang w:eastAsia="en-GB"/>
        </w:rPr>
        <w:t>.</w:t>
      </w:r>
    </w:p>
    <w:p w14:paraId="49F4BB45" w14:textId="77777777" w:rsidR="00792743" w:rsidRDefault="00792743" w:rsidP="00091692">
      <w:pPr>
        <w:spacing w:before="0" w:after="0"/>
        <w:rPr>
          <w:rFonts w:ascii="Calibri" w:eastAsia="Times New Roman" w:hAnsi="Calibri" w:cs="Calibri"/>
          <w:color w:val="000000"/>
          <w:sz w:val="22"/>
          <w:szCs w:val="22"/>
          <w:lang w:eastAsia="en-GB"/>
        </w:rPr>
      </w:pPr>
    </w:p>
    <w:p w14:paraId="34F11057" w14:textId="331E7F38" w:rsidR="00792743" w:rsidRDefault="00792743" w:rsidP="00792743">
      <w:pPr>
        <w:pStyle w:val="Caption"/>
        <w:keepNext/>
        <w:spacing w:after="0"/>
      </w:pPr>
      <w:r>
        <w:t xml:space="preserve">Table </w:t>
      </w:r>
      <w:r>
        <w:fldChar w:fldCharType="begin"/>
      </w:r>
      <w:r>
        <w:instrText xml:space="preserve"> SEQ Table \* ARABIC </w:instrText>
      </w:r>
      <w:r>
        <w:fldChar w:fldCharType="separate"/>
      </w:r>
      <w:r w:rsidR="001A5241">
        <w:rPr>
          <w:noProof/>
        </w:rPr>
        <w:t>2</w:t>
      </w:r>
      <w:r>
        <w:fldChar w:fldCharType="end"/>
      </w:r>
      <w:r w:rsidRPr="00E84995">
        <w:t xml:space="preserve"> - Poverty/ Financial vulnerability in Moray by Intermediate Zone</w:t>
      </w:r>
    </w:p>
    <w:tbl>
      <w:tblPr>
        <w:tblW w:w="21680" w:type="dxa"/>
        <w:tblLook w:val="04A0" w:firstRow="1" w:lastRow="0" w:firstColumn="1" w:lastColumn="0" w:noHBand="0" w:noVBand="1"/>
      </w:tblPr>
      <w:tblGrid>
        <w:gridCol w:w="949"/>
        <w:gridCol w:w="5837"/>
        <w:gridCol w:w="2531"/>
        <w:gridCol w:w="1382"/>
        <w:gridCol w:w="1217"/>
        <w:gridCol w:w="1167"/>
        <w:gridCol w:w="1083"/>
        <w:gridCol w:w="1029"/>
        <w:gridCol w:w="1290"/>
        <w:gridCol w:w="1569"/>
        <w:gridCol w:w="1301"/>
        <w:gridCol w:w="2372"/>
      </w:tblGrid>
      <w:tr w:rsidR="004B05C1" w:rsidRPr="004B05C1" w14:paraId="5EFC4C0D" w14:textId="77777777" w:rsidTr="004B05C1">
        <w:trPr>
          <w:trHeight w:val="383"/>
        </w:trPr>
        <w:tc>
          <w:tcPr>
            <w:tcW w:w="21680" w:type="dxa"/>
            <w:gridSpan w:val="12"/>
            <w:tcBorders>
              <w:top w:val="single" w:sz="8" w:space="0" w:color="auto"/>
              <w:left w:val="single" w:sz="8" w:space="0" w:color="auto"/>
              <w:bottom w:val="single" w:sz="8" w:space="0" w:color="auto"/>
              <w:right w:val="single" w:sz="8" w:space="0" w:color="000000"/>
            </w:tcBorders>
            <w:shd w:val="clear" w:color="000000" w:fill="16365C"/>
            <w:noWrap/>
            <w:vAlign w:val="center"/>
            <w:hideMark/>
          </w:tcPr>
          <w:p w14:paraId="673E602B" w14:textId="77777777" w:rsidR="004B05C1" w:rsidRPr="004B05C1" w:rsidRDefault="004B05C1" w:rsidP="004B05C1">
            <w:pPr>
              <w:spacing w:before="0" w:after="0" w:line="240" w:lineRule="auto"/>
              <w:rPr>
                <w:rFonts w:ascii="Calibri" w:eastAsia="Times New Roman" w:hAnsi="Calibri" w:cs="Calibri"/>
                <w:b/>
                <w:bCs/>
                <w:color w:val="FFFFFF"/>
                <w:sz w:val="22"/>
                <w:szCs w:val="22"/>
                <w:lang w:eastAsia="en-GB"/>
              </w:rPr>
            </w:pPr>
            <w:r w:rsidRPr="004B05C1">
              <w:rPr>
                <w:rFonts w:ascii="Calibri" w:eastAsia="Times New Roman" w:hAnsi="Calibri" w:cs="Calibri"/>
                <w:b/>
                <w:bCs/>
                <w:color w:val="FFFFFF"/>
                <w:sz w:val="22"/>
                <w:szCs w:val="22"/>
                <w:lang w:eastAsia="en-GB"/>
              </w:rPr>
              <w:t>INTERMEDIATE ZONES (HOUSEHOLD DATA) IN ORDER OF OVERALL RANKING (1=WORST, 24=BEST)</w:t>
            </w:r>
          </w:p>
        </w:tc>
      </w:tr>
      <w:tr w:rsidR="004B05C1" w:rsidRPr="004B05C1" w14:paraId="60EC4092" w14:textId="77777777" w:rsidTr="004B05C1">
        <w:trPr>
          <w:trHeight w:val="1253"/>
        </w:trPr>
        <w:tc>
          <w:tcPr>
            <w:tcW w:w="929" w:type="dxa"/>
            <w:tcBorders>
              <w:top w:val="nil"/>
              <w:left w:val="single" w:sz="8" w:space="0" w:color="auto"/>
              <w:bottom w:val="single" w:sz="4" w:space="0" w:color="auto"/>
              <w:right w:val="single" w:sz="4" w:space="0" w:color="auto"/>
            </w:tcBorders>
            <w:shd w:val="clear" w:color="000000" w:fill="B8CCE4"/>
            <w:vAlign w:val="bottom"/>
            <w:hideMark/>
          </w:tcPr>
          <w:p w14:paraId="0FFE8749" w14:textId="77777777" w:rsidR="004B05C1" w:rsidRPr="004B05C1" w:rsidRDefault="004B05C1" w:rsidP="004B05C1">
            <w:pPr>
              <w:spacing w:before="0" w:after="0" w:line="240" w:lineRule="auto"/>
              <w:jc w:val="center"/>
              <w:rPr>
                <w:rFonts w:ascii="Calibri" w:eastAsia="Times New Roman" w:hAnsi="Calibri" w:cs="Calibri"/>
                <w:b/>
                <w:bCs/>
                <w:color w:val="000000"/>
                <w:sz w:val="22"/>
                <w:szCs w:val="22"/>
                <w:lang w:eastAsia="en-GB"/>
              </w:rPr>
            </w:pPr>
            <w:r w:rsidRPr="004B05C1">
              <w:rPr>
                <w:rFonts w:ascii="Calibri" w:eastAsia="Times New Roman" w:hAnsi="Calibri" w:cs="Calibri"/>
                <w:b/>
                <w:bCs/>
                <w:color w:val="000000"/>
                <w:sz w:val="22"/>
                <w:szCs w:val="22"/>
                <w:lang w:eastAsia="en-GB"/>
              </w:rPr>
              <w:t>Ranking</w:t>
            </w:r>
          </w:p>
        </w:tc>
        <w:tc>
          <w:tcPr>
            <w:tcW w:w="5837" w:type="dxa"/>
            <w:tcBorders>
              <w:top w:val="nil"/>
              <w:left w:val="nil"/>
              <w:bottom w:val="single" w:sz="4" w:space="0" w:color="auto"/>
              <w:right w:val="single" w:sz="4" w:space="0" w:color="auto"/>
            </w:tcBorders>
            <w:shd w:val="clear" w:color="000000" w:fill="B8CCE4"/>
            <w:noWrap/>
            <w:vAlign w:val="bottom"/>
            <w:hideMark/>
          </w:tcPr>
          <w:p w14:paraId="3298B8F6" w14:textId="77777777" w:rsidR="004B05C1" w:rsidRPr="004B05C1" w:rsidRDefault="004B05C1" w:rsidP="004B05C1">
            <w:pPr>
              <w:spacing w:before="0" w:after="0" w:line="240" w:lineRule="auto"/>
              <w:rPr>
                <w:rFonts w:ascii="Calibri" w:eastAsia="Times New Roman" w:hAnsi="Calibri" w:cs="Calibri"/>
                <w:b/>
                <w:bCs/>
                <w:color w:val="000000"/>
                <w:sz w:val="22"/>
                <w:szCs w:val="22"/>
                <w:lang w:eastAsia="en-GB"/>
              </w:rPr>
            </w:pPr>
            <w:r w:rsidRPr="004B05C1">
              <w:rPr>
                <w:rFonts w:ascii="Calibri" w:eastAsia="Times New Roman" w:hAnsi="Calibri" w:cs="Calibri"/>
                <w:b/>
                <w:bCs/>
                <w:color w:val="000000"/>
                <w:sz w:val="22"/>
                <w:szCs w:val="22"/>
                <w:lang w:eastAsia="en-GB"/>
              </w:rPr>
              <w:t>Intermediate Zone Name</w:t>
            </w:r>
          </w:p>
        </w:tc>
        <w:tc>
          <w:tcPr>
            <w:tcW w:w="2531" w:type="dxa"/>
            <w:tcBorders>
              <w:top w:val="nil"/>
              <w:left w:val="nil"/>
              <w:bottom w:val="single" w:sz="4" w:space="0" w:color="auto"/>
              <w:right w:val="single" w:sz="4" w:space="0" w:color="auto"/>
            </w:tcBorders>
            <w:shd w:val="clear" w:color="000000" w:fill="B8CCE4"/>
            <w:noWrap/>
            <w:vAlign w:val="bottom"/>
            <w:hideMark/>
          </w:tcPr>
          <w:p w14:paraId="27FC8D1C" w14:textId="77777777" w:rsidR="004B05C1" w:rsidRPr="004B05C1" w:rsidRDefault="004B05C1" w:rsidP="004B05C1">
            <w:pPr>
              <w:spacing w:before="0" w:after="0" w:line="240" w:lineRule="auto"/>
              <w:rPr>
                <w:rFonts w:ascii="Calibri" w:eastAsia="Times New Roman" w:hAnsi="Calibri" w:cs="Calibri"/>
                <w:b/>
                <w:bCs/>
                <w:color w:val="000000"/>
                <w:sz w:val="22"/>
                <w:szCs w:val="22"/>
                <w:lang w:eastAsia="en-GB"/>
              </w:rPr>
            </w:pPr>
            <w:r w:rsidRPr="004B05C1">
              <w:rPr>
                <w:rFonts w:ascii="Calibri" w:eastAsia="Times New Roman" w:hAnsi="Calibri" w:cs="Calibri"/>
                <w:b/>
                <w:bCs/>
                <w:color w:val="000000"/>
                <w:sz w:val="22"/>
                <w:szCs w:val="22"/>
                <w:lang w:eastAsia="en-GB"/>
              </w:rPr>
              <w:t>ASG Area</w:t>
            </w:r>
          </w:p>
        </w:tc>
        <w:tc>
          <w:tcPr>
            <w:tcW w:w="1382" w:type="dxa"/>
            <w:tcBorders>
              <w:top w:val="nil"/>
              <w:left w:val="nil"/>
              <w:bottom w:val="single" w:sz="4" w:space="0" w:color="auto"/>
              <w:right w:val="single" w:sz="4" w:space="0" w:color="auto"/>
            </w:tcBorders>
            <w:shd w:val="clear" w:color="000000" w:fill="B8CCE4"/>
            <w:vAlign w:val="bottom"/>
            <w:hideMark/>
          </w:tcPr>
          <w:p w14:paraId="1EBE398D" w14:textId="77777777" w:rsidR="004B05C1" w:rsidRPr="004B05C1" w:rsidRDefault="004B05C1" w:rsidP="004B05C1">
            <w:pPr>
              <w:spacing w:before="0" w:after="0" w:line="240" w:lineRule="auto"/>
              <w:jc w:val="center"/>
              <w:rPr>
                <w:rFonts w:ascii="Calibri" w:eastAsia="Times New Roman" w:hAnsi="Calibri" w:cs="Calibri"/>
                <w:b/>
                <w:bCs/>
                <w:color w:val="000000"/>
                <w:sz w:val="22"/>
                <w:szCs w:val="22"/>
                <w:lang w:eastAsia="en-GB"/>
              </w:rPr>
            </w:pPr>
            <w:r w:rsidRPr="004B05C1">
              <w:rPr>
                <w:rFonts w:ascii="Calibri" w:eastAsia="Times New Roman" w:hAnsi="Calibri" w:cs="Calibri"/>
                <w:b/>
                <w:bCs/>
                <w:color w:val="000000"/>
                <w:sz w:val="22"/>
                <w:szCs w:val="22"/>
                <w:lang w:eastAsia="en-GB"/>
              </w:rPr>
              <w:t>Average Urban/Rural 2-Fold</w:t>
            </w:r>
          </w:p>
        </w:tc>
        <w:tc>
          <w:tcPr>
            <w:tcW w:w="1190" w:type="dxa"/>
            <w:tcBorders>
              <w:top w:val="nil"/>
              <w:left w:val="nil"/>
              <w:bottom w:val="single" w:sz="4" w:space="0" w:color="auto"/>
              <w:right w:val="single" w:sz="4" w:space="0" w:color="auto"/>
            </w:tcBorders>
            <w:shd w:val="clear" w:color="000000" w:fill="B8CCE4"/>
            <w:vAlign w:val="bottom"/>
            <w:hideMark/>
          </w:tcPr>
          <w:p w14:paraId="02B2898D" w14:textId="77777777" w:rsidR="004B05C1" w:rsidRPr="004B05C1" w:rsidRDefault="004B05C1" w:rsidP="004B05C1">
            <w:pPr>
              <w:spacing w:before="0" w:after="0" w:line="240" w:lineRule="auto"/>
              <w:jc w:val="center"/>
              <w:rPr>
                <w:rFonts w:ascii="Calibri" w:eastAsia="Times New Roman" w:hAnsi="Calibri" w:cs="Calibri"/>
                <w:b/>
                <w:bCs/>
                <w:color w:val="000000"/>
                <w:sz w:val="22"/>
                <w:szCs w:val="22"/>
                <w:lang w:eastAsia="en-GB"/>
              </w:rPr>
            </w:pPr>
            <w:r w:rsidRPr="004B05C1">
              <w:rPr>
                <w:rFonts w:ascii="Calibri" w:eastAsia="Times New Roman" w:hAnsi="Calibri" w:cs="Calibri"/>
                <w:b/>
                <w:bCs/>
                <w:color w:val="000000"/>
                <w:sz w:val="22"/>
                <w:szCs w:val="22"/>
                <w:lang w:eastAsia="en-GB"/>
              </w:rPr>
              <w:t>Total 0-15 Population</w:t>
            </w:r>
          </w:p>
        </w:tc>
        <w:tc>
          <w:tcPr>
            <w:tcW w:w="1167" w:type="dxa"/>
            <w:tcBorders>
              <w:top w:val="nil"/>
              <w:left w:val="nil"/>
              <w:bottom w:val="single" w:sz="4" w:space="0" w:color="auto"/>
              <w:right w:val="single" w:sz="4" w:space="0" w:color="auto"/>
            </w:tcBorders>
            <w:shd w:val="clear" w:color="000000" w:fill="B8CCE4"/>
            <w:vAlign w:val="bottom"/>
            <w:hideMark/>
          </w:tcPr>
          <w:p w14:paraId="1653A9F6" w14:textId="77777777" w:rsidR="004B05C1" w:rsidRPr="004B05C1" w:rsidRDefault="004B05C1" w:rsidP="004B05C1">
            <w:pPr>
              <w:spacing w:before="0" w:after="0" w:line="240" w:lineRule="auto"/>
              <w:jc w:val="center"/>
              <w:rPr>
                <w:rFonts w:ascii="Calibri" w:eastAsia="Times New Roman" w:hAnsi="Calibri" w:cs="Calibri"/>
                <w:b/>
                <w:bCs/>
                <w:color w:val="000000"/>
                <w:sz w:val="22"/>
                <w:szCs w:val="22"/>
                <w:lang w:eastAsia="en-GB"/>
              </w:rPr>
            </w:pPr>
            <w:r w:rsidRPr="004B05C1">
              <w:rPr>
                <w:rFonts w:ascii="Calibri" w:eastAsia="Times New Roman" w:hAnsi="Calibri" w:cs="Calibri"/>
                <w:b/>
                <w:bCs/>
                <w:color w:val="000000"/>
                <w:sz w:val="22"/>
                <w:szCs w:val="22"/>
                <w:lang w:eastAsia="en-GB"/>
              </w:rPr>
              <w:t>Average SIMD2020 Decile</w:t>
            </w:r>
          </w:p>
        </w:tc>
        <w:tc>
          <w:tcPr>
            <w:tcW w:w="1083" w:type="dxa"/>
            <w:tcBorders>
              <w:top w:val="nil"/>
              <w:left w:val="nil"/>
              <w:bottom w:val="single" w:sz="4" w:space="0" w:color="auto"/>
              <w:right w:val="single" w:sz="4" w:space="0" w:color="auto"/>
            </w:tcBorders>
            <w:shd w:val="clear" w:color="000000" w:fill="B8CCE4"/>
            <w:vAlign w:val="bottom"/>
            <w:hideMark/>
          </w:tcPr>
          <w:p w14:paraId="22ABFDA4" w14:textId="77777777" w:rsidR="004B05C1" w:rsidRPr="004B05C1" w:rsidRDefault="004B05C1" w:rsidP="004B05C1">
            <w:pPr>
              <w:spacing w:before="0" w:after="0" w:line="240" w:lineRule="auto"/>
              <w:jc w:val="center"/>
              <w:rPr>
                <w:rFonts w:ascii="Calibri" w:eastAsia="Times New Roman" w:hAnsi="Calibri" w:cs="Calibri"/>
                <w:b/>
                <w:bCs/>
                <w:color w:val="000000"/>
                <w:sz w:val="22"/>
                <w:szCs w:val="22"/>
                <w:lang w:eastAsia="en-GB"/>
              </w:rPr>
            </w:pPr>
            <w:r w:rsidRPr="004B05C1">
              <w:rPr>
                <w:rFonts w:ascii="Calibri" w:eastAsia="Times New Roman" w:hAnsi="Calibri" w:cs="Calibri"/>
                <w:b/>
                <w:bCs/>
                <w:color w:val="000000"/>
                <w:sz w:val="22"/>
                <w:szCs w:val="22"/>
                <w:lang w:eastAsia="en-GB"/>
              </w:rPr>
              <w:t>Previous Ranking</w:t>
            </w:r>
          </w:p>
        </w:tc>
        <w:tc>
          <w:tcPr>
            <w:tcW w:w="1029" w:type="dxa"/>
            <w:tcBorders>
              <w:top w:val="nil"/>
              <w:left w:val="nil"/>
              <w:bottom w:val="single" w:sz="4" w:space="0" w:color="auto"/>
              <w:right w:val="single" w:sz="4" w:space="0" w:color="auto"/>
            </w:tcBorders>
            <w:shd w:val="clear" w:color="000000" w:fill="DCE6F1"/>
            <w:vAlign w:val="bottom"/>
            <w:hideMark/>
          </w:tcPr>
          <w:p w14:paraId="3B2E3AB2" w14:textId="77777777" w:rsidR="004B05C1" w:rsidRPr="004B05C1" w:rsidRDefault="004B05C1" w:rsidP="004B05C1">
            <w:pPr>
              <w:spacing w:before="0" w:after="0" w:line="240" w:lineRule="auto"/>
              <w:jc w:val="center"/>
              <w:rPr>
                <w:rFonts w:ascii="Calibri" w:eastAsia="Times New Roman" w:hAnsi="Calibri" w:cs="Calibri"/>
                <w:b/>
                <w:bCs/>
                <w:color w:val="000000"/>
                <w:sz w:val="22"/>
                <w:szCs w:val="22"/>
                <w:lang w:eastAsia="en-GB"/>
              </w:rPr>
            </w:pPr>
            <w:r w:rsidRPr="004B05C1">
              <w:rPr>
                <w:rFonts w:ascii="Calibri" w:eastAsia="Times New Roman" w:hAnsi="Calibri" w:cs="Calibri"/>
                <w:b/>
                <w:bCs/>
                <w:color w:val="000000"/>
                <w:sz w:val="22"/>
                <w:szCs w:val="22"/>
                <w:lang w:eastAsia="en-GB"/>
              </w:rPr>
              <w:t>Change in Ranking</w:t>
            </w:r>
          </w:p>
        </w:tc>
        <w:tc>
          <w:tcPr>
            <w:tcW w:w="1290" w:type="dxa"/>
            <w:tcBorders>
              <w:top w:val="nil"/>
              <w:left w:val="nil"/>
              <w:bottom w:val="nil"/>
              <w:right w:val="single" w:sz="4" w:space="0" w:color="auto"/>
            </w:tcBorders>
            <w:shd w:val="clear" w:color="000000" w:fill="16365C"/>
            <w:vAlign w:val="bottom"/>
            <w:hideMark/>
          </w:tcPr>
          <w:p w14:paraId="778E8864" w14:textId="77777777" w:rsidR="004B05C1" w:rsidRPr="004B05C1" w:rsidRDefault="004B05C1" w:rsidP="004B05C1">
            <w:pPr>
              <w:spacing w:before="0" w:after="0" w:line="240" w:lineRule="auto"/>
              <w:jc w:val="center"/>
              <w:rPr>
                <w:rFonts w:ascii="Calibri" w:eastAsia="Times New Roman" w:hAnsi="Calibri" w:cs="Calibri"/>
                <w:b/>
                <w:bCs/>
                <w:color w:val="FFFFFF"/>
                <w:sz w:val="22"/>
                <w:szCs w:val="22"/>
                <w:lang w:eastAsia="en-GB"/>
              </w:rPr>
            </w:pPr>
            <w:r w:rsidRPr="004B05C1">
              <w:rPr>
                <w:rFonts w:ascii="Calibri" w:eastAsia="Times New Roman" w:hAnsi="Calibri" w:cs="Calibri"/>
                <w:b/>
                <w:bCs/>
                <w:color w:val="FFFFFF"/>
                <w:sz w:val="22"/>
                <w:szCs w:val="22"/>
                <w:lang w:eastAsia="en-GB"/>
              </w:rPr>
              <w:t>% Estimated Relative Child Poverty 2021/22</w:t>
            </w:r>
          </w:p>
        </w:tc>
        <w:tc>
          <w:tcPr>
            <w:tcW w:w="1569" w:type="dxa"/>
            <w:tcBorders>
              <w:top w:val="nil"/>
              <w:left w:val="nil"/>
              <w:bottom w:val="single" w:sz="4" w:space="0" w:color="auto"/>
              <w:right w:val="single" w:sz="4" w:space="0" w:color="auto"/>
            </w:tcBorders>
            <w:shd w:val="clear" w:color="000000" w:fill="DCE6F1"/>
            <w:vAlign w:val="bottom"/>
            <w:hideMark/>
          </w:tcPr>
          <w:p w14:paraId="32135A57" w14:textId="77777777" w:rsidR="004B05C1" w:rsidRPr="004B05C1" w:rsidRDefault="004B05C1" w:rsidP="004B05C1">
            <w:pPr>
              <w:spacing w:before="0" w:after="0" w:line="240" w:lineRule="auto"/>
              <w:jc w:val="center"/>
              <w:rPr>
                <w:rFonts w:ascii="Calibri" w:eastAsia="Times New Roman" w:hAnsi="Calibri" w:cs="Calibri"/>
                <w:b/>
                <w:bCs/>
                <w:color w:val="000000"/>
                <w:sz w:val="22"/>
                <w:szCs w:val="22"/>
                <w:lang w:eastAsia="en-GB"/>
              </w:rPr>
            </w:pPr>
            <w:r w:rsidRPr="004B05C1">
              <w:rPr>
                <w:rFonts w:ascii="Calibri" w:eastAsia="Times New Roman" w:hAnsi="Calibri" w:cs="Calibri"/>
                <w:b/>
                <w:bCs/>
                <w:color w:val="000000"/>
                <w:sz w:val="22"/>
                <w:szCs w:val="22"/>
                <w:lang w:eastAsia="en-GB"/>
              </w:rPr>
              <w:t>Estimated number of Children (0-15) in Relative Child Poverty 2021/22</w:t>
            </w:r>
          </w:p>
        </w:tc>
        <w:tc>
          <w:tcPr>
            <w:tcW w:w="1301" w:type="dxa"/>
            <w:tcBorders>
              <w:top w:val="nil"/>
              <w:left w:val="nil"/>
              <w:bottom w:val="single" w:sz="4" w:space="0" w:color="auto"/>
              <w:right w:val="single" w:sz="4" w:space="0" w:color="auto"/>
            </w:tcBorders>
            <w:shd w:val="clear" w:color="000000" w:fill="DCE6F1"/>
            <w:vAlign w:val="bottom"/>
            <w:hideMark/>
          </w:tcPr>
          <w:p w14:paraId="2B7D98BE" w14:textId="77777777" w:rsidR="004B05C1" w:rsidRPr="004B05C1" w:rsidRDefault="004B05C1" w:rsidP="004B05C1">
            <w:pPr>
              <w:spacing w:before="0" w:after="0" w:line="240" w:lineRule="auto"/>
              <w:jc w:val="center"/>
              <w:rPr>
                <w:rFonts w:ascii="Calibri" w:eastAsia="Times New Roman" w:hAnsi="Calibri" w:cs="Calibri"/>
                <w:b/>
                <w:bCs/>
                <w:color w:val="000000"/>
                <w:sz w:val="22"/>
                <w:szCs w:val="22"/>
                <w:lang w:eastAsia="en-GB"/>
              </w:rPr>
            </w:pPr>
            <w:r w:rsidRPr="004B05C1">
              <w:rPr>
                <w:rFonts w:ascii="Calibri" w:eastAsia="Times New Roman" w:hAnsi="Calibri" w:cs="Calibri"/>
                <w:b/>
                <w:bCs/>
                <w:color w:val="000000"/>
                <w:sz w:val="22"/>
                <w:szCs w:val="22"/>
                <w:lang w:eastAsia="en-GB"/>
              </w:rPr>
              <w:t xml:space="preserve">% Change in </w:t>
            </w:r>
            <w:proofErr w:type="gramStart"/>
            <w:r w:rsidRPr="004B05C1">
              <w:rPr>
                <w:rFonts w:ascii="Calibri" w:eastAsia="Times New Roman" w:hAnsi="Calibri" w:cs="Calibri"/>
                <w:b/>
                <w:bCs/>
                <w:color w:val="000000"/>
                <w:sz w:val="22"/>
                <w:szCs w:val="22"/>
                <w:lang w:eastAsia="en-GB"/>
              </w:rPr>
              <w:t>Estimated  Relative</w:t>
            </w:r>
            <w:proofErr w:type="gramEnd"/>
            <w:r w:rsidRPr="004B05C1">
              <w:rPr>
                <w:rFonts w:ascii="Calibri" w:eastAsia="Times New Roman" w:hAnsi="Calibri" w:cs="Calibri"/>
                <w:b/>
                <w:bCs/>
                <w:color w:val="000000"/>
                <w:sz w:val="22"/>
                <w:szCs w:val="22"/>
                <w:lang w:eastAsia="en-GB"/>
              </w:rPr>
              <w:t xml:space="preserve"> Child Poverty</w:t>
            </w:r>
          </w:p>
        </w:tc>
        <w:tc>
          <w:tcPr>
            <w:tcW w:w="2372" w:type="dxa"/>
            <w:tcBorders>
              <w:top w:val="nil"/>
              <w:left w:val="nil"/>
              <w:bottom w:val="single" w:sz="4" w:space="0" w:color="auto"/>
              <w:right w:val="single" w:sz="8" w:space="0" w:color="auto"/>
            </w:tcBorders>
            <w:shd w:val="clear" w:color="000000" w:fill="DCE6F1"/>
            <w:vAlign w:val="bottom"/>
            <w:hideMark/>
          </w:tcPr>
          <w:p w14:paraId="0C598266" w14:textId="77777777" w:rsidR="004B05C1" w:rsidRPr="004B05C1" w:rsidRDefault="004B05C1" w:rsidP="004B05C1">
            <w:pPr>
              <w:spacing w:before="0" w:after="0" w:line="240" w:lineRule="auto"/>
              <w:jc w:val="center"/>
              <w:rPr>
                <w:rFonts w:ascii="Calibri" w:eastAsia="Times New Roman" w:hAnsi="Calibri" w:cs="Calibri"/>
                <w:b/>
                <w:bCs/>
                <w:color w:val="000000"/>
                <w:sz w:val="22"/>
                <w:szCs w:val="22"/>
                <w:lang w:eastAsia="en-GB"/>
              </w:rPr>
            </w:pPr>
            <w:r w:rsidRPr="004B05C1">
              <w:rPr>
                <w:rFonts w:ascii="Calibri" w:eastAsia="Times New Roman" w:hAnsi="Calibri" w:cs="Calibri"/>
                <w:b/>
                <w:bCs/>
                <w:color w:val="000000"/>
                <w:sz w:val="22"/>
                <w:szCs w:val="22"/>
                <w:lang w:eastAsia="en-GB"/>
              </w:rPr>
              <w:t>Increase/Decrease in number of Children (0-15) in Relative Child Poverty 2020/21 - 2021/22</w:t>
            </w:r>
          </w:p>
        </w:tc>
      </w:tr>
      <w:tr w:rsidR="004B05C1" w:rsidRPr="004B05C1" w14:paraId="15CEE601" w14:textId="77777777" w:rsidTr="004B05C1">
        <w:trPr>
          <w:trHeight w:val="285"/>
        </w:trPr>
        <w:tc>
          <w:tcPr>
            <w:tcW w:w="929" w:type="dxa"/>
            <w:tcBorders>
              <w:top w:val="nil"/>
              <w:left w:val="single" w:sz="8" w:space="0" w:color="auto"/>
              <w:bottom w:val="single" w:sz="4" w:space="0" w:color="auto"/>
              <w:right w:val="single" w:sz="4" w:space="0" w:color="auto"/>
            </w:tcBorders>
            <w:shd w:val="clear" w:color="auto" w:fill="auto"/>
            <w:noWrap/>
            <w:vAlign w:val="bottom"/>
            <w:hideMark/>
          </w:tcPr>
          <w:p w14:paraId="6275FFBF"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w:t>
            </w:r>
          </w:p>
        </w:tc>
        <w:tc>
          <w:tcPr>
            <w:tcW w:w="5837" w:type="dxa"/>
            <w:tcBorders>
              <w:top w:val="nil"/>
              <w:left w:val="nil"/>
              <w:bottom w:val="single" w:sz="4" w:space="0" w:color="auto"/>
              <w:right w:val="single" w:sz="4" w:space="0" w:color="auto"/>
            </w:tcBorders>
            <w:shd w:val="clear" w:color="auto" w:fill="auto"/>
            <w:noWrap/>
            <w:vAlign w:val="bottom"/>
            <w:hideMark/>
          </w:tcPr>
          <w:p w14:paraId="63E13301"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 xml:space="preserve">Elgin Cathedral to Ashgrove and </w:t>
            </w:r>
            <w:proofErr w:type="spellStart"/>
            <w:r w:rsidRPr="004B05C1">
              <w:rPr>
                <w:rFonts w:ascii="Calibri" w:eastAsia="Times New Roman" w:hAnsi="Calibri" w:cs="Calibri"/>
                <w:color w:val="000000"/>
                <w:sz w:val="22"/>
                <w:szCs w:val="22"/>
                <w:lang w:eastAsia="en-GB"/>
              </w:rPr>
              <w:t>Pinefield</w:t>
            </w:r>
            <w:proofErr w:type="spellEnd"/>
          </w:p>
        </w:tc>
        <w:tc>
          <w:tcPr>
            <w:tcW w:w="2531" w:type="dxa"/>
            <w:tcBorders>
              <w:top w:val="nil"/>
              <w:left w:val="nil"/>
              <w:bottom w:val="single" w:sz="4" w:space="0" w:color="auto"/>
              <w:right w:val="single" w:sz="4" w:space="0" w:color="auto"/>
            </w:tcBorders>
            <w:shd w:val="clear" w:color="auto" w:fill="auto"/>
            <w:noWrap/>
            <w:vAlign w:val="bottom"/>
            <w:hideMark/>
          </w:tcPr>
          <w:p w14:paraId="516E876D"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Elgin Academy</w:t>
            </w:r>
          </w:p>
        </w:tc>
        <w:tc>
          <w:tcPr>
            <w:tcW w:w="1382" w:type="dxa"/>
            <w:tcBorders>
              <w:top w:val="nil"/>
              <w:left w:val="nil"/>
              <w:bottom w:val="single" w:sz="4" w:space="0" w:color="auto"/>
              <w:right w:val="single" w:sz="4" w:space="0" w:color="auto"/>
            </w:tcBorders>
            <w:shd w:val="clear" w:color="auto" w:fill="auto"/>
            <w:noWrap/>
            <w:vAlign w:val="bottom"/>
            <w:hideMark/>
          </w:tcPr>
          <w:p w14:paraId="184E472D"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w:t>
            </w:r>
          </w:p>
        </w:tc>
        <w:tc>
          <w:tcPr>
            <w:tcW w:w="1190" w:type="dxa"/>
            <w:tcBorders>
              <w:top w:val="nil"/>
              <w:left w:val="nil"/>
              <w:bottom w:val="single" w:sz="4" w:space="0" w:color="auto"/>
              <w:right w:val="single" w:sz="4" w:space="0" w:color="auto"/>
            </w:tcBorders>
            <w:shd w:val="clear" w:color="auto" w:fill="auto"/>
            <w:noWrap/>
            <w:vAlign w:val="bottom"/>
            <w:hideMark/>
          </w:tcPr>
          <w:p w14:paraId="0E0D5661"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722</w:t>
            </w:r>
          </w:p>
        </w:tc>
        <w:tc>
          <w:tcPr>
            <w:tcW w:w="1167" w:type="dxa"/>
            <w:tcBorders>
              <w:top w:val="nil"/>
              <w:left w:val="nil"/>
              <w:bottom w:val="single" w:sz="4" w:space="0" w:color="auto"/>
              <w:right w:val="single" w:sz="4" w:space="0" w:color="auto"/>
            </w:tcBorders>
            <w:shd w:val="clear" w:color="auto" w:fill="auto"/>
            <w:noWrap/>
            <w:vAlign w:val="bottom"/>
            <w:hideMark/>
          </w:tcPr>
          <w:p w14:paraId="30B7703A"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4</w:t>
            </w:r>
          </w:p>
        </w:tc>
        <w:tc>
          <w:tcPr>
            <w:tcW w:w="1083" w:type="dxa"/>
            <w:tcBorders>
              <w:top w:val="nil"/>
              <w:left w:val="nil"/>
              <w:bottom w:val="single" w:sz="4" w:space="0" w:color="auto"/>
              <w:right w:val="single" w:sz="4" w:space="0" w:color="auto"/>
            </w:tcBorders>
            <w:shd w:val="clear" w:color="auto" w:fill="auto"/>
            <w:noWrap/>
            <w:vAlign w:val="bottom"/>
            <w:hideMark/>
          </w:tcPr>
          <w:p w14:paraId="08592243"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3</w:t>
            </w:r>
          </w:p>
        </w:tc>
        <w:tc>
          <w:tcPr>
            <w:tcW w:w="1029"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E8418DD"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w:t>
            </w:r>
          </w:p>
        </w:tc>
        <w:tc>
          <w:tcPr>
            <w:tcW w:w="1290" w:type="dxa"/>
            <w:tcBorders>
              <w:top w:val="single" w:sz="4" w:space="0" w:color="FFFFFF"/>
              <w:left w:val="nil"/>
              <w:bottom w:val="single" w:sz="4" w:space="0" w:color="FFFFFF"/>
              <w:right w:val="single" w:sz="4" w:space="0" w:color="auto"/>
            </w:tcBorders>
            <w:shd w:val="clear" w:color="000000" w:fill="16365C"/>
            <w:noWrap/>
            <w:vAlign w:val="bottom"/>
            <w:hideMark/>
          </w:tcPr>
          <w:p w14:paraId="0CBABCCA" w14:textId="77777777" w:rsidR="004B05C1" w:rsidRPr="004B05C1" w:rsidRDefault="004B05C1" w:rsidP="004B05C1">
            <w:pPr>
              <w:spacing w:before="0" w:after="0" w:line="240" w:lineRule="auto"/>
              <w:jc w:val="center"/>
              <w:rPr>
                <w:rFonts w:ascii="Calibri" w:eastAsia="Times New Roman" w:hAnsi="Calibri" w:cs="Calibri"/>
                <w:color w:val="FFFFFF"/>
                <w:sz w:val="22"/>
                <w:szCs w:val="22"/>
                <w:lang w:eastAsia="en-GB"/>
              </w:rPr>
            </w:pPr>
            <w:r w:rsidRPr="004B05C1">
              <w:rPr>
                <w:rFonts w:ascii="Calibri" w:eastAsia="Times New Roman" w:hAnsi="Calibri" w:cs="Calibri"/>
                <w:color w:val="FFFFFF"/>
                <w:sz w:val="22"/>
                <w:szCs w:val="22"/>
                <w:lang w:eastAsia="en-GB"/>
              </w:rPr>
              <w:t>40.2%</w:t>
            </w:r>
          </w:p>
        </w:tc>
        <w:tc>
          <w:tcPr>
            <w:tcW w:w="1569" w:type="dxa"/>
            <w:tcBorders>
              <w:top w:val="single" w:sz="4" w:space="0" w:color="auto"/>
              <w:left w:val="single" w:sz="4" w:space="0" w:color="auto"/>
              <w:bottom w:val="single" w:sz="4" w:space="0" w:color="auto"/>
              <w:right w:val="single" w:sz="4" w:space="0" w:color="auto"/>
            </w:tcBorders>
            <w:shd w:val="clear" w:color="000000" w:fill="F97173"/>
            <w:noWrap/>
            <w:vAlign w:val="bottom"/>
            <w:hideMark/>
          </w:tcPr>
          <w:p w14:paraId="72E95770"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290</w:t>
            </w:r>
          </w:p>
        </w:tc>
        <w:tc>
          <w:tcPr>
            <w:tcW w:w="130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CCC5D84"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12.1%</w:t>
            </w:r>
          </w:p>
        </w:tc>
        <w:tc>
          <w:tcPr>
            <w:tcW w:w="2372" w:type="dxa"/>
            <w:tcBorders>
              <w:top w:val="nil"/>
              <w:left w:val="nil"/>
              <w:bottom w:val="single" w:sz="4" w:space="0" w:color="auto"/>
              <w:right w:val="single" w:sz="8" w:space="0" w:color="auto"/>
            </w:tcBorders>
            <w:shd w:val="clear" w:color="auto" w:fill="auto"/>
            <w:noWrap/>
            <w:vAlign w:val="bottom"/>
            <w:hideMark/>
          </w:tcPr>
          <w:p w14:paraId="472C9EA4"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88</w:t>
            </w:r>
          </w:p>
        </w:tc>
      </w:tr>
      <w:tr w:rsidR="004B05C1" w:rsidRPr="004B05C1" w14:paraId="1E089506" w14:textId="77777777" w:rsidTr="004B05C1">
        <w:trPr>
          <w:trHeight w:val="285"/>
        </w:trPr>
        <w:tc>
          <w:tcPr>
            <w:tcW w:w="929" w:type="dxa"/>
            <w:tcBorders>
              <w:top w:val="nil"/>
              <w:left w:val="single" w:sz="8" w:space="0" w:color="auto"/>
              <w:bottom w:val="single" w:sz="4" w:space="0" w:color="auto"/>
              <w:right w:val="single" w:sz="4" w:space="0" w:color="auto"/>
            </w:tcBorders>
            <w:shd w:val="clear" w:color="auto" w:fill="auto"/>
            <w:noWrap/>
            <w:vAlign w:val="bottom"/>
            <w:hideMark/>
          </w:tcPr>
          <w:p w14:paraId="3D5A6178"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w:t>
            </w:r>
          </w:p>
        </w:tc>
        <w:tc>
          <w:tcPr>
            <w:tcW w:w="5837" w:type="dxa"/>
            <w:tcBorders>
              <w:top w:val="nil"/>
              <w:left w:val="nil"/>
              <w:bottom w:val="single" w:sz="4" w:space="0" w:color="auto"/>
              <w:right w:val="single" w:sz="4" w:space="0" w:color="auto"/>
            </w:tcBorders>
            <w:shd w:val="clear" w:color="auto" w:fill="auto"/>
            <w:noWrap/>
            <w:vAlign w:val="bottom"/>
            <w:hideMark/>
          </w:tcPr>
          <w:p w14:paraId="4F5A1FC5"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New Elgin East</w:t>
            </w:r>
          </w:p>
        </w:tc>
        <w:tc>
          <w:tcPr>
            <w:tcW w:w="2531" w:type="dxa"/>
            <w:tcBorders>
              <w:top w:val="nil"/>
              <w:left w:val="nil"/>
              <w:bottom w:val="single" w:sz="4" w:space="0" w:color="auto"/>
              <w:right w:val="single" w:sz="4" w:space="0" w:color="auto"/>
            </w:tcBorders>
            <w:shd w:val="clear" w:color="auto" w:fill="auto"/>
            <w:noWrap/>
            <w:vAlign w:val="bottom"/>
            <w:hideMark/>
          </w:tcPr>
          <w:p w14:paraId="4F81A6FA"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Elgin High School</w:t>
            </w:r>
          </w:p>
        </w:tc>
        <w:tc>
          <w:tcPr>
            <w:tcW w:w="1382" w:type="dxa"/>
            <w:tcBorders>
              <w:top w:val="nil"/>
              <w:left w:val="nil"/>
              <w:bottom w:val="single" w:sz="4" w:space="0" w:color="auto"/>
              <w:right w:val="single" w:sz="4" w:space="0" w:color="auto"/>
            </w:tcBorders>
            <w:shd w:val="clear" w:color="auto" w:fill="auto"/>
            <w:noWrap/>
            <w:vAlign w:val="bottom"/>
            <w:hideMark/>
          </w:tcPr>
          <w:p w14:paraId="3BEF9991"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w:t>
            </w:r>
          </w:p>
        </w:tc>
        <w:tc>
          <w:tcPr>
            <w:tcW w:w="1190" w:type="dxa"/>
            <w:tcBorders>
              <w:top w:val="nil"/>
              <w:left w:val="nil"/>
              <w:bottom w:val="single" w:sz="4" w:space="0" w:color="auto"/>
              <w:right w:val="single" w:sz="4" w:space="0" w:color="auto"/>
            </w:tcBorders>
            <w:shd w:val="clear" w:color="auto" w:fill="auto"/>
            <w:noWrap/>
            <w:vAlign w:val="bottom"/>
            <w:hideMark/>
          </w:tcPr>
          <w:p w14:paraId="71E313DC"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811</w:t>
            </w:r>
          </w:p>
        </w:tc>
        <w:tc>
          <w:tcPr>
            <w:tcW w:w="1167" w:type="dxa"/>
            <w:tcBorders>
              <w:top w:val="nil"/>
              <w:left w:val="nil"/>
              <w:bottom w:val="single" w:sz="4" w:space="0" w:color="auto"/>
              <w:right w:val="single" w:sz="4" w:space="0" w:color="auto"/>
            </w:tcBorders>
            <w:shd w:val="clear" w:color="auto" w:fill="auto"/>
            <w:noWrap/>
            <w:vAlign w:val="bottom"/>
            <w:hideMark/>
          </w:tcPr>
          <w:p w14:paraId="2F7DC400"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5</w:t>
            </w:r>
          </w:p>
        </w:tc>
        <w:tc>
          <w:tcPr>
            <w:tcW w:w="1083" w:type="dxa"/>
            <w:tcBorders>
              <w:top w:val="nil"/>
              <w:left w:val="nil"/>
              <w:bottom w:val="single" w:sz="4" w:space="0" w:color="auto"/>
              <w:right w:val="single" w:sz="4" w:space="0" w:color="auto"/>
            </w:tcBorders>
            <w:shd w:val="clear" w:color="auto" w:fill="auto"/>
            <w:noWrap/>
            <w:vAlign w:val="bottom"/>
            <w:hideMark/>
          </w:tcPr>
          <w:p w14:paraId="06D50F31"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w:t>
            </w:r>
          </w:p>
        </w:tc>
        <w:tc>
          <w:tcPr>
            <w:tcW w:w="1029" w:type="dxa"/>
            <w:tcBorders>
              <w:top w:val="nil"/>
              <w:left w:val="nil"/>
              <w:bottom w:val="single" w:sz="4" w:space="0" w:color="auto"/>
              <w:right w:val="single" w:sz="4" w:space="0" w:color="auto"/>
            </w:tcBorders>
            <w:shd w:val="clear" w:color="auto" w:fill="auto"/>
            <w:noWrap/>
            <w:vAlign w:val="bottom"/>
            <w:hideMark/>
          </w:tcPr>
          <w:p w14:paraId="36B48073"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w:t>
            </w:r>
          </w:p>
        </w:tc>
        <w:tc>
          <w:tcPr>
            <w:tcW w:w="1290" w:type="dxa"/>
            <w:tcBorders>
              <w:top w:val="nil"/>
              <w:left w:val="nil"/>
              <w:bottom w:val="single" w:sz="4" w:space="0" w:color="FFFFFF"/>
              <w:right w:val="single" w:sz="4" w:space="0" w:color="auto"/>
            </w:tcBorders>
            <w:shd w:val="clear" w:color="000000" w:fill="16365C"/>
            <w:noWrap/>
            <w:vAlign w:val="bottom"/>
            <w:hideMark/>
          </w:tcPr>
          <w:p w14:paraId="45B097B7" w14:textId="77777777" w:rsidR="004B05C1" w:rsidRPr="004B05C1" w:rsidRDefault="004B05C1" w:rsidP="004B05C1">
            <w:pPr>
              <w:spacing w:before="0" w:after="0" w:line="240" w:lineRule="auto"/>
              <w:jc w:val="center"/>
              <w:rPr>
                <w:rFonts w:ascii="Calibri" w:eastAsia="Times New Roman" w:hAnsi="Calibri" w:cs="Calibri"/>
                <w:color w:val="FFFFFF"/>
                <w:sz w:val="22"/>
                <w:szCs w:val="22"/>
                <w:lang w:eastAsia="en-GB"/>
              </w:rPr>
            </w:pPr>
            <w:r w:rsidRPr="004B05C1">
              <w:rPr>
                <w:rFonts w:ascii="Calibri" w:eastAsia="Times New Roman" w:hAnsi="Calibri" w:cs="Calibri"/>
                <w:color w:val="FFFFFF"/>
                <w:sz w:val="22"/>
                <w:szCs w:val="22"/>
                <w:lang w:eastAsia="en-GB"/>
              </w:rPr>
              <w:t>37.5%</w:t>
            </w:r>
          </w:p>
        </w:tc>
        <w:tc>
          <w:tcPr>
            <w:tcW w:w="1569"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22B91C74"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304</w:t>
            </w:r>
          </w:p>
        </w:tc>
        <w:tc>
          <w:tcPr>
            <w:tcW w:w="130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28540DE"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1.5%</w:t>
            </w:r>
          </w:p>
        </w:tc>
        <w:tc>
          <w:tcPr>
            <w:tcW w:w="2372" w:type="dxa"/>
            <w:tcBorders>
              <w:top w:val="nil"/>
              <w:left w:val="nil"/>
              <w:bottom w:val="single" w:sz="4" w:space="0" w:color="auto"/>
              <w:right w:val="single" w:sz="8" w:space="0" w:color="auto"/>
            </w:tcBorders>
            <w:shd w:val="clear" w:color="auto" w:fill="auto"/>
            <w:noWrap/>
            <w:vAlign w:val="bottom"/>
            <w:hideMark/>
          </w:tcPr>
          <w:p w14:paraId="3D165D5D"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12</w:t>
            </w:r>
          </w:p>
        </w:tc>
      </w:tr>
      <w:tr w:rsidR="004B05C1" w:rsidRPr="004B05C1" w14:paraId="149E6376" w14:textId="77777777" w:rsidTr="004B05C1">
        <w:trPr>
          <w:trHeight w:val="285"/>
        </w:trPr>
        <w:tc>
          <w:tcPr>
            <w:tcW w:w="929" w:type="dxa"/>
            <w:tcBorders>
              <w:top w:val="nil"/>
              <w:left w:val="single" w:sz="8" w:space="0" w:color="auto"/>
              <w:bottom w:val="single" w:sz="4" w:space="0" w:color="auto"/>
              <w:right w:val="single" w:sz="4" w:space="0" w:color="auto"/>
            </w:tcBorders>
            <w:shd w:val="clear" w:color="auto" w:fill="auto"/>
            <w:noWrap/>
            <w:vAlign w:val="bottom"/>
            <w:hideMark/>
          </w:tcPr>
          <w:p w14:paraId="4A49D1A8"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3</w:t>
            </w:r>
          </w:p>
        </w:tc>
        <w:tc>
          <w:tcPr>
            <w:tcW w:w="5837" w:type="dxa"/>
            <w:tcBorders>
              <w:top w:val="nil"/>
              <w:left w:val="nil"/>
              <w:bottom w:val="single" w:sz="4" w:space="0" w:color="auto"/>
              <w:right w:val="single" w:sz="4" w:space="0" w:color="auto"/>
            </w:tcBorders>
            <w:shd w:val="clear" w:color="auto" w:fill="auto"/>
            <w:noWrap/>
            <w:vAlign w:val="bottom"/>
            <w:hideMark/>
          </w:tcPr>
          <w:p w14:paraId="0CFD0901"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 xml:space="preserve">Forres </w:t>
            </w:r>
            <w:proofErr w:type="gramStart"/>
            <w:r w:rsidRPr="004B05C1">
              <w:rPr>
                <w:rFonts w:ascii="Calibri" w:eastAsia="Times New Roman" w:hAnsi="Calibri" w:cs="Calibri"/>
                <w:color w:val="000000"/>
                <w:sz w:val="22"/>
                <w:szCs w:val="22"/>
                <w:lang w:eastAsia="en-GB"/>
              </w:rPr>
              <w:t>South West</w:t>
            </w:r>
            <w:proofErr w:type="gramEnd"/>
            <w:r w:rsidRPr="004B05C1">
              <w:rPr>
                <w:rFonts w:ascii="Calibri" w:eastAsia="Times New Roman" w:hAnsi="Calibri" w:cs="Calibri"/>
                <w:color w:val="000000"/>
                <w:sz w:val="22"/>
                <w:szCs w:val="22"/>
                <w:lang w:eastAsia="en-GB"/>
              </w:rPr>
              <w:t xml:space="preserve"> and Mannachie</w:t>
            </w:r>
          </w:p>
        </w:tc>
        <w:tc>
          <w:tcPr>
            <w:tcW w:w="2531" w:type="dxa"/>
            <w:tcBorders>
              <w:top w:val="nil"/>
              <w:left w:val="nil"/>
              <w:bottom w:val="single" w:sz="4" w:space="0" w:color="auto"/>
              <w:right w:val="single" w:sz="4" w:space="0" w:color="auto"/>
            </w:tcBorders>
            <w:shd w:val="clear" w:color="auto" w:fill="auto"/>
            <w:noWrap/>
            <w:vAlign w:val="bottom"/>
            <w:hideMark/>
          </w:tcPr>
          <w:p w14:paraId="624F1F36"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Forres Academy</w:t>
            </w:r>
          </w:p>
        </w:tc>
        <w:tc>
          <w:tcPr>
            <w:tcW w:w="1382" w:type="dxa"/>
            <w:tcBorders>
              <w:top w:val="nil"/>
              <w:left w:val="nil"/>
              <w:bottom w:val="single" w:sz="4" w:space="0" w:color="auto"/>
              <w:right w:val="single" w:sz="4" w:space="0" w:color="auto"/>
            </w:tcBorders>
            <w:shd w:val="clear" w:color="auto" w:fill="auto"/>
            <w:noWrap/>
            <w:vAlign w:val="bottom"/>
            <w:hideMark/>
          </w:tcPr>
          <w:p w14:paraId="106D4F22"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w:t>
            </w:r>
          </w:p>
        </w:tc>
        <w:tc>
          <w:tcPr>
            <w:tcW w:w="1190" w:type="dxa"/>
            <w:tcBorders>
              <w:top w:val="nil"/>
              <w:left w:val="nil"/>
              <w:bottom w:val="single" w:sz="4" w:space="0" w:color="auto"/>
              <w:right w:val="single" w:sz="4" w:space="0" w:color="auto"/>
            </w:tcBorders>
            <w:shd w:val="clear" w:color="auto" w:fill="auto"/>
            <w:noWrap/>
            <w:vAlign w:val="bottom"/>
            <w:hideMark/>
          </w:tcPr>
          <w:p w14:paraId="4C819023"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812</w:t>
            </w:r>
          </w:p>
        </w:tc>
        <w:tc>
          <w:tcPr>
            <w:tcW w:w="1167" w:type="dxa"/>
            <w:tcBorders>
              <w:top w:val="nil"/>
              <w:left w:val="nil"/>
              <w:bottom w:val="single" w:sz="4" w:space="0" w:color="auto"/>
              <w:right w:val="single" w:sz="4" w:space="0" w:color="auto"/>
            </w:tcBorders>
            <w:shd w:val="clear" w:color="auto" w:fill="auto"/>
            <w:noWrap/>
            <w:vAlign w:val="bottom"/>
            <w:hideMark/>
          </w:tcPr>
          <w:p w14:paraId="21835ED1"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5</w:t>
            </w:r>
          </w:p>
        </w:tc>
        <w:tc>
          <w:tcPr>
            <w:tcW w:w="1083" w:type="dxa"/>
            <w:tcBorders>
              <w:top w:val="nil"/>
              <w:left w:val="nil"/>
              <w:bottom w:val="single" w:sz="4" w:space="0" w:color="auto"/>
              <w:right w:val="single" w:sz="4" w:space="0" w:color="auto"/>
            </w:tcBorders>
            <w:shd w:val="clear" w:color="auto" w:fill="auto"/>
            <w:noWrap/>
            <w:vAlign w:val="bottom"/>
            <w:hideMark/>
          </w:tcPr>
          <w:p w14:paraId="47D93212"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w:t>
            </w:r>
          </w:p>
        </w:tc>
        <w:tc>
          <w:tcPr>
            <w:tcW w:w="1029"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262B494"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w:t>
            </w:r>
          </w:p>
        </w:tc>
        <w:tc>
          <w:tcPr>
            <w:tcW w:w="1290" w:type="dxa"/>
            <w:tcBorders>
              <w:top w:val="nil"/>
              <w:left w:val="nil"/>
              <w:bottom w:val="single" w:sz="4" w:space="0" w:color="FFFFFF"/>
              <w:right w:val="single" w:sz="4" w:space="0" w:color="auto"/>
            </w:tcBorders>
            <w:shd w:val="clear" w:color="000000" w:fill="16365C"/>
            <w:noWrap/>
            <w:vAlign w:val="bottom"/>
            <w:hideMark/>
          </w:tcPr>
          <w:p w14:paraId="4FB67C03" w14:textId="77777777" w:rsidR="004B05C1" w:rsidRPr="004B05C1" w:rsidRDefault="004B05C1" w:rsidP="004B05C1">
            <w:pPr>
              <w:spacing w:before="0" w:after="0" w:line="240" w:lineRule="auto"/>
              <w:jc w:val="center"/>
              <w:rPr>
                <w:rFonts w:ascii="Calibri" w:eastAsia="Times New Roman" w:hAnsi="Calibri" w:cs="Calibri"/>
                <w:color w:val="FFFFFF"/>
                <w:sz w:val="22"/>
                <w:szCs w:val="22"/>
                <w:lang w:eastAsia="en-GB"/>
              </w:rPr>
            </w:pPr>
            <w:r w:rsidRPr="004B05C1">
              <w:rPr>
                <w:rFonts w:ascii="Calibri" w:eastAsia="Times New Roman" w:hAnsi="Calibri" w:cs="Calibri"/>
                <w:color w:val="FFFFFF"/>
                <w:sz w:val="22"/>
                <w:szCs w:val="22"/>
                <w:lang w:eastAsia="en-GB"/>
              </w:rPr>
              <w:t>34.4%</w:t>
            </w:r>
          </w:p>
        </w:tc>
        <w:tc>
          <w:tcPr>
            <w:tcW w:w="1569" w:type="dxa"/>
            <w:tcBorders>
              <w:top w:val="single" w:sz="4" w:space="0" w:color="auto"/>
              <w:left w:val="single" w:sz="4" w:space="0" w:color="auto"/>
              <w:bottom w:val="single" w:sz="4" w:space="0" w:color="auto"/>
              <w:right w:val="single" w:sz="4" w:space="0" w:color="auto"/>
            </w:tcBorders>
            <w:shd w:val="clear" w:color="000000" w:fill="F97779"/>
            <w:noWrap/>
            <w:vAlign w:val="bottom"/>
            <w:hideMark/>
          </w:tcPr>
          <w:p w14:paraId="26C06ECF"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280</w:t>
            </w:r>
          </w:p>
        </w:tc>
        <w:tc>
          <w:tcPr>
            <w:tcW w:w="130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F67CE5F"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1.2%</w:t>
            </w:r>
          </w:p>
        </w:tc>
        <w:tc>
          <w:tcPr>
            <w:tcW w:w="2372" w:type="dxa"/>
            <w:tcBorders>
              <w:top w:val="nil"/>
              <w:left w:val="nil"/>
              <w:bottom w:val="single" w:sz="4" w:space="0" w:color="auto"/>
              <w:right w:val="single" w:sz="8" w:space="0" w:color="auto"/>
            </w:tcBorders>
            <w:shd w:val="clear" w:color="auto" w:fill="auto"/>
            <w:noWrap/>
            <w:vAlign w:val="bottom"/>
            <w:hideMark/>
          </w:tcPr>
          <w:p w14:paraId="0C64DDD1"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10</w:t>
            </w:r>
          </w:p>
        </w:tc>
      </w:tr>
      <w:tr w:rsidR="004B05C1" w:rsidRPr="004B05C1" w14:paraId="527A376B" w14:textId="77777777" w:rsidTr="004B05C1">
        <w:trPr>
          <w:trHeight w:val="285"/>
        </w:trPr>
        <w:tc>
          <w:tcPr>
            <w:tcW w:w="929" w:type="dxa"/>
            <w:tcBorders>
              <w:top w:val="nil"/>
              <w:left w:val="single" w:sz="8" w:space="0" w:color="auto"/>
              <w:bottom w:val="single" w:sz="4" w:space="0" w:color="auto"/>
              <w:right w:val="single" w:sz="4" w:space="0" w:color="auto"/>
            </w:tcBorders>
            <w:shd w:val="clear" w:color="auto" w:fill="auto"/>
            <w:noWrap/>
            <w:vAlign w:val="bottom"/>
            <w:hideMark/>
          </w:tcPr>
          <w:p w14:paraId="1B5A52C0"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4</w:t>
            </w:r>
          </w:p>
        </w:tc>
        <w:tc>
          <w:tcPr>
            <w:tcW w:w="5837" w:type="dxa"/>
            <w:tcBorders>
              <w:top w:val="nil"/>
              <w:left w:val="nil"/>
              <w:bottom w:val="single" w:sz="4" w:space="0" w:color="auto"/>
              <w:right w:val="single" w:sz="4" w:space="0" w:color="auto"/>
            </w:tcBorders>
            <w:shd w:val="clear" w:color="auto" w:fill="auto"/>
            <w:noWrap/>
            <w:vAlign w:val="bottom"/>
            <w:hideMark/>
          </w:tcPr>
          <w:p w14:paraId="73256205"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Buckie Central East</w:t>
            </w:r>
          </w:p>
        </w:tc>
        <w:tc>
          <w:tcPr>
            <w:tcW w:w="2531" w:type="dxa"/>
            <w:tcBorders>
              <w:top w:val="nil"/>
              <w:left w:val="nil"/>
              <w:bottom w:val="single" w:sz="4" w:space="0" w:color="auto"/>
              <w:right w:val="single" w:sz="4" w:space="0" w:color="auto"/>
            </w:tcBorders>
            <w:shd w:val="clear" w:color="auto" w:fill="auto"/>
            <w:noWrap/>
            <w:vAlign w:val="bottom"/>
            <w:hideMark/>
          </w:tcPr>
          <w:p w14:paraId="7C2E4496"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Buckie High School</w:t>
            </w:r>
          </w:p>
        </w:tc>
        <w:tc>
          <w:tcPr>
            <w:tcW w:w="1382" w:type="dxa"/>
            <w:tcBorders>
              <w:top w:val="nil"/>
              <w:left w:val="nil"/>
              <w:bottom w:val="single" w:sz="4" w:space="0" w:color="auto"/>
              <w:right w:val="single" w:sz="4" w:space="0" w:color="auto"/>
            </w:tcBorders>
            <w:shd w:val="clear" w:color="auto" w:fill="auto"/>
            <w:noWrap/>
            <w:vAlign w:val="bottom"/>
            <w:hideMark/>
          </w:tcPr>
          <w:p w14:paraId="160A288E"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w:t>
            </w:r>
          </w:p>
        </w:tc>
        <w:tc>
          <w:tcPr>
            <w:tcW w:w="1190" w:type="dxa"/>
            <w:tcBorders>
              <w:top w:val="nil"/>
              <w:left w:val="nil"/>
              <w:bottom w:val="single" w:sz="4" w:space="0" w:color="auto"/>
              <w:right w:val="single" w:sz="4" w:space="0" w:color="auto"/>
            </w:tcBorders>
            <w:shd w:val="clear" w:color="auto" w:fill="auto"/>
            <w:noWrap/>
            <w:vAlign w:val="bottom"/>
            <w:hideMark/>
          </w:tcPr>
          <w:p w14:paraId="1EC27F05"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602</w:t>
            </w:r>
          </w:p>
        </w:tc>
        <w:tc>
          <w:tcPr>
            <w:tcW w:w="1167" w:type="dxa"/>
            <w:tcBorders>
              <w:top w:val="nil"/>
              <w:left w:val="nil"/>
              <w:bottom w:val="single" w:sz="4" w:space="0" w:color="auto"/>
              <w:right w:val="single" w:sz="4" w:space="0" w:color="auto"/>
            </w:tcBorders>
            <w:shd w:val="clear" w:color="auto" w:fill="auto"/>
            <w:noWrap/>
            <w:vAlign w:val="bottom"/>
            <w:hideMark/>
          </w:tcPr>
          <w:p w14:paraId="268F9578"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5</w:t>
            </w:r>
          </w:p>
        </w:tc>
        <w:tc>
          <w:tcPr>
            <w:tcW w:w="1083" w:type="dxa"/>
            <w:tcBorders>
              <w:top w:val="nil"/>
              <w:left w:val="nil"/>
              <w:bottom w:val="single" w:sz="4" w:space="0" w:color="auto"/>
              <w:right w:val="single" w:sz="4" w:space="0" w:color="auto"/>
            </w:tcBorders>
            <w:shd w:val="clear" w:color="auto" w:fill="auto"/>
            <w:noWrap/>
            <w:vAlign w:val="bottom"/>
            <w:hideMark/>
          </w:tcPr>
          <w:p w14:paraId="6D65EE57"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4</w:t>
            </w:r>
          </w:p>
        </w:tc>
        <w:tc>
          <w:tcPr>
            <w:tcW w:w="1029" w:type="dxa"/>
            <w:tcBorders>
              <w:top w:val="nil"/>
              <w:left w:val="nil"/>
              <w:bottom w:val="single" w:sz="4" w:space="0" w:color="auto"/>
              <w:right w:val="single" w:sz="4" w:space="0" w:color="auto"/>
            </w:tcBorders>
            <w:shd w:val="clear" w:color="auto" w:fill="auto"/>
            <w:noWrap/>
            <w:vAlign w:val="bottom"/>
            <w:hideMark/>
          </w:tcPr>
          <w:p w14:paraId="7A755FF6"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w:t>
            </w:r>
          </w:p>
        </w:tc>
        <w:tc>
          <w:tcPr>
            <w:tcW w:w="1290" w:type="dxa"/>
            <w:tcBorders>
              <w:top w:val="nil"/>
              <w:left w:val="nil"/>
              <w:bottom w:val="single" w:sz="4" w:space="0" w:color="FFFFFF"/>
              <w:right w:val="single" w:sz="4" w:space="0" w:color="auto"/>
            </w:tcBorders>
            <w:shd w:val="clear" w:color="000000" w:fill="16365C"/>
            <w:noWrap/>
            <w:vAlign w:val="bottom"/>
            <w:hideMark/>
          </w:tcPr>
          <w:p w14:paraId="03EF50FD" w14:textId="77777777" w:rsidR="004B05C1" w:rsidRPr="004B05C1" w:rsidRDefault="004B05C1" w:rsidP="004B05C1">
            <w:pPr>
              <w:spacing w:before="0" w:after="0" w:line="240" w:lineRule="auto"/>
              <w:jc w:val="center"/>
              <w:rPr>
                <w:rFonts w:ascii="Calibri" w:eastAsia="Times New Roman" w:hAnsi="Calibri" w:cs="Calibri"/>
                <w:color w:val="FFFFFF"/>
                <w:sz w:val="22"/>
                <w:szCs w:val="22"/>
                <w:lang w:eastAsia="en-GB"/>
              </w:rPr>
            </w:pPr>
            <w:r w:rsidRPr="004B05C1">
              <w:rPr>
                <w:rFonts w:ascii="Calibri" w:eastAsia="Times New Roman" w:hAnsi="Calibri" w:cs="Calibri"/>
                <w:color w:val="FFFFFF"/>
                <w:sz w:val="22"/>
                <w:szCs w:val="22"/>
                <w:lang w:eastAsia="en-GB"/>
              </w:rPr>
              <w:t>32.4%</w:t>
            </w:r>
          </w:p>
        </w:tc>
        <w:tc>
          <w:tcPr>
            <w:tcW w:w="1569" w:type="dxa"/>
            <w:tcBorders>
              <w:top w:val="single" w:sz="4" w:space="0" w:color="auto"/>
              <w:left w:val="single" w:sz="4" w:space="0" w:color="auto"/>
              <w:bottom w:val="single" w:sz="4" w:space="0" w:color="auto"/>
              <w:right w:val="single" w:sz="4" w:space="0" w:color="auto"/>
            </w:tcBorders>
            <w:shd w:val="clear" w:color="000000" w:fill="FAA3A6"/>
            <w:noWrap/>
            <w:vAlign w:val="bottom"/>
            <w:hideMark/>
          </w:tcPr>
          <w:p w14:paraId="0F02ADB0"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195</w:t>
            </w:r>
          </w:p>
        </w:tc>
        <w:tc>
          <w:tcPr>
            <w:tcW w:w="130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4CE001E"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1.0%</w:t>
            </w:r>
          </w:p>
        </w:tc>
        <w:tc>
          <w:tcPr>
            <w:tcW w:w="2372" w:type="dxa"/>
            <w:tcBorders>
              <w:top w:val="nil"/>
              <w:left w:val="nil"/>
              <w:bottom w:val="single" w:sz="4" w:space="0" w:color="auto"/>
              <w:right w:val="single" w:sz="8" w:space="0" w:color="auto"/>
            </w:tcBorders>
            <w:shd w:val="clear" w:color="auto" w:fill="auto"/>
            <w:noWrap/>
            <w:vAlign w:val="bottom"/>
            <w:hideMark/>
          </w:tcPr>
          <w:p w14:paraId="1DE76E2B"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6</w:t>
            </w:r>
          </w:p>
        </w:tc>
      </w:tr>
      <w:tr w:rsidR="004B05C1" w:rsidRPr="004B05C1" w14:paraId="3C484C5D" w14:textId="77777777" w:rsidTr="004B05C1">
        <w:trPr>
          <w:trHeight w:val="285"/>
        </w:trPr>
        <w:tc>
          <w:tcPr>
            <w:tcW w:w="929" w:type="dxa"/>
            <w:tcBorders>
              <w:top w:val="nil"/>
              <w:left w:val="single" w:sz="8" w:space="0" w:color="auto"/>
              <w:bottom w:val="single" w:sz="4" w:space="0" w:color="auto"/>
              <w:right w:val="single" w:sz="4" w:space="0" w:color="auto"/>
            </w:tcBorders>
            <w:shd w:val="clear" w:color="auto" w:fill="auto"/>
            <w:noWrap/>
            <w:vAlign w:val="bottom"/>
            <w:hideMark/>
          </w:tcPr>
          <w:p w14:paraId="35ACEEDF"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5</w:t>
            </w:r>
          </w:p>
        </w:tc>
        <w:tc>
          <w:tcPr>
            <w:tcW w:w="5837" w:type="dxa"/>
            <w:tcBorders>
              <w:top w:val="nil"/>
              <w:left w:val="nil"/>
              <w:bottom w:val="single" w:sz="4" w:space="0" w:color="auto"/>
              <w:right w:val="single" w:sz="4" w:space="0" w:color="auto"/>
            </w:tcBorders>
            <w:shd w:val="clear" w:color="auto" w:fill="auto"/>
            <w:noWrap/>
            <w:vAlign w:val="bottom"/>
            <w:hideMark/>
          </w:tcPr>
          <w:p w14:paraId="4654A32C"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Keith and Fife Keith</w:t>
            </w:r>
          </w:p>
        </w:tc>
        <w:tc>
          <w:tcPr>
            <w:tcW w:w="2531" w:type="dxa"/>
            <w:tcBorders>
              <w:top w:val="nil"/>
              <w:left w:val="nil"/>
              <w:bottom w:val="single" w:sz="4" w:space="0" w:color="auto"/>
              <w:right w:val="single" w:sz="4" w:space="0" w:color="auto"/>
            </w:tcBorders>
            <w:shd w:val="clear" w:color="auto" w:fill="auto"/>
            <w:noWrap/>
            <w:vAlign w:val="bottom"/>
            <w:hideMark/>
          </w:tcPr>
          <w:p w14:paraId="3804B7BC"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Keith Grammar School</w:t>
            </w:r>
          </w:p>
        </w:tc>
        <w:tc>
          <w:tcPr>
            <w:tcW w:w="1382" w:type="dxa"/>
            <w:tcBorders>
              <w:top w:val="nil"/>
              <w:left w:val="nil"/>
              <w:bottom w:val="single" w:sz="4" w:space="0" w:color="auto"/>
              <w:right w:val="single" w:sz="4" w:space="0" w:color="auto"/>
            </w:tcBorders>
            <w:shd w:val="clear" w:color="auto" w:fill="auto"/>
            <w:noWrap/>
            <w:vAlign w:val="bottom"/>
            <w:hideMark/>
          </w:tcPr>
          <w:p w14:paraId="28097E97"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w:t>
            </w:r>
          </w:p>
        </w:tc>
        <w:tc>
          <w:tcPr>
            <w:tcW w:w="1190" w:type="dxa"/>
            <w:tcBorders>
              <w:top w:val="nil"/>
              <w:left w:val="nil"/>
              <w:bottom w:val="single" w:sz="4" w:space="0" w:color="auto"/>
              <w:right w:val="single" w:sz="4" w:space="0" w:color="auto"/>
            </w:tcBorders>
            <w:shd w:val="clear" w:color="auto" w:fill="auto"/>
            <w:noWrap/>
            <w:vAlign w:val="bottom"/>
            <w:hideMark/>
          </w:tcPr>
          <w:p w14:paraId="0F4A31C9"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681</w:t>
            </w:r>
          </w:p>
        </w:tc>
        <w:tc>
          <w:tcPr>
            <w:tcW w:w="1167" w:type="dxa"/>
            <w:tcBorders>
              <w:top w:val="nil"/>
              <w:left w:val="nil"/>
              <w:bottom w:val="single" w:sz="4" w:space="0" w:color="auto"/>
              <w:right w:val="single" w:sz="4" w:space="0" w:color="auto"/>
            </w:tcBorders>
            <w:shd w:val="clear" w:color="auto" w:fill="auto"/>
            <w:noWrap/>
            <w:vAlign w:val="bottom"/>
            <w:hideMark/>
          </w:tcPr>
          <w:p w14:paraId="2C64B813"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5</w:t>
            </w:r>
          </w:p>
        </w:tc>
        <w:tc>
          <w:tcPr>
            <w:tcW w:w="1083" w:type="dxa"/>
            <w:tcBorders>
              <w:top w:val="nil"/>
              <w:left w:val="nil"/>
              <w:bottom w:val="single" w:sz="4" w:space="0" w:color="auto"/>
              <w:right w:val="single" w:sz="4" w:space="0" w:color="auto"/>
            </w:tcBorders>
            <w:shd w:val="clear" w:color="auto" w:fill="auto"/>
            <w:noWrap/>
            <w:vAlign w:val="bottom"/>
            <w:hideMark/>
          </w:tcPr>
          <w:p w14:paraId="2EF67264"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5</w:t>
            </w:r>
          </w:p>
        </w:tc>
        <w:tc>
          <w:tcPr>
            <w:tcW w:w="1029" w:type="dxa"/>
            <w:tcBorders>
              <w:top w:val="nil"/>
              <w:left w:val="nil"/>
              <w:bottom w:val="single" w:sz="4" w:space="0" w:color="auto"/>
              <w:right w:val="single" w:sz="4" w:space="0" w:color="auto"/>
            </w:tcBorders>
            <w:shd w:val="clear" w:color="auto" w:fill="auto"/>
            <w:noWrap/>
            <w:vAlign w:val="bottom"/>
            <w:hideMark/>
          </w:tcPr>
          <w:p w14:paraId="3F8F36BA"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w:t>
            </w:r>
          </w:p>
        </w:tc>
        <w:tc>
          <w:tcPr>
            <w:tcW w:w="1290" w:type="dxa"/>
            <w:tcBorders>
              <w:top w:val="nil"/>
              <w:left w:val="nil"/>
              <w:bottom w:val="single" w:sz="4" w:space="0" w:color="FFFFFF"/>
              <w:right w:val="single" w:sz="4" w:space="0" w:color="auto"/>
            </w:tcBorders>
            <w:shd w:val="clear" w:color="000000" w:fill="16365C"/>
            <w:noWrap/>
            <w:vAlign w:val="bottom"/>
            <w:hideMark/>
          </w:tcPr>
          <w:p w14:paraId="74335396" w14:textId="77777777" w:rsidR="004B05C1" w:rsidRPr="004B05C1" w:rsidRDefault="004B05C1" w:rsidP="004B05C1">
            <w:pPr>
              <w:spacing w:before="0" w:after="0" w:line="240" w:lineRule="auto"/>
              <w:jc w:val="center"/>
              <w:rPr>
                <w:rFonts w:ascii="Calibri" w:eastAsia="Times New Roman" w:hAnsi="Calibri" w:cs="Calibri"/>
                <w:color w:val="FFFFFF"/>
                <w:sz w:val="22"/>
                <w:szCs w:val="22"/>
                <w:lang w:eastAsia="en-GB"/>
              </w:rPr>
            </w:pPr>
            <w:r w:rsidRPr="004B05C1">
              <w:rPr>
                <w:rFonts w:ascii="Calibri" w:eastAsia="Times New Roman" w:hAnsi="Calibri" w:cs="Calibri"/>
                <w:color w:val="FFFFFF"/>
                <w:sz w:val="22"/>
                <w:szCs w:val="22"/>
                <w:lang w:eastAsia="en-GB"/>
              </w:rPr>
              <w:t>33.1%</w:t>
            </w:r>
          </w:p>
        </w:tc>
        <w:tc>
          <w:tcPr>
            <w:tcW w:w="1569" w:type="dxa"/>
            <w:tcBorders>
              <w:top w:val="single" w:sz="4" w:space="0" w:color="auto"/>
              <w:left w:val="single" w:sz="4" w:space="0" w:color="auto"/>
              <w:bottom w:val="single" w:sz="4" w:space="0" w:color="auto"/>
              <w:right w:val="single" w:sz="4" w:space="0" w:color="auto"/>
            </w:tcBorders>
            <w:shd w:val="clear" w:color="000000" w:fill="FA9396"/>
            <w:noWrap/>
            <w:vAlign w:val="bottom"/>
            <w:hideMark/>
          </w:tcPr>
          <w:p w14:paraId="701A8F69"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226</w:t>
            </w:r>
          </w:p>
        </w:tc>
        <w:tc>
          <w:tcPr>
            <w:tcW w:w="130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5FC9AF7"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2.4%</w:t>
            </w:r>
          </w:p>
        </w:tc>
        <w:tc>
          <w:tcPr>
            <w:tcW w:w="2372" w:type="dxa"/>
            <w:tcBorders>
              <w:top w:val="nil"/>
              <w:left w:val="nil"/>
              <w:bottom w:val="single" w:sz="4" w:space="0" w:color="auto"/>
              <w:right w:val="single" w:sz="8" w:space="0" w:color="auto"/>
            </w:tcBorders>
            <w:shd w:val="clear" w:color="auto" w:fill="auto"/>
            <w:noWrap/>
            <w:vAlign w:val="bottom"/>
            <w:hideMark/>
          </w:tcPr>
          <w:p w14:paraId="06D1DE42"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16</w:t>
            </w:r>
          </w:p>
        </w:tc>
      </w:tr>
      <w:tr w:rsidR="004B05C1" w:rsidRPr="004B05C1" w14:paraId="54F2421E" w14:textId="77777777" w:rsidTr="004B05C1">
        <w:trPr>
          <w:trHeight w:val="293"/>
        </w:trPr>
        <w:tc>
          <w:tcPr>
            <w:tcW w:w="929" w:type="dxa"/>
            <w:tcBorders>
              <w:top w:val="nil"/>
              <w:left w:val="single" w:sz="8" w:space="0" w:color="auto"/>
              <w:bottom w:val="single" w:sz="4" w:space="0" w:color="auto"/>
              <w:right w:val="single" w:sz="4" w:space="0" w:color="auto"/>
            </w:tcBorders>
            <w:shd w:val="clear" w:color="auto" w:fill="auto"/>
            <w:noWrap/>
            <w:vAlign w:val="bottom"/>
            <w:hideMark/>
          </w:tcPr>
          <w:p w14:paraId="3CA66314"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6</w:t>
            </w:r>
          </w:p>
        </w:tc>
        <w:tc>
          <w:tcPr>
            <w:tcW w:w="5837" w:type="dxa"/>
            <w:tcBorders>
              <w:top w:val="nil"/>
              <w:left w:val="nil"/>
              <w:bottom w:val="single" w:sz="4" w:space="0" w:color="auto"/>
              <w:right w:val="single" w:sz="4" w:space="0" w:color="auto"/>
            </w:tcBorders>
            <w:shd w:val="clear" w:color="auto" w:fill="auto"/>
            <w:noWrap/>
            <w:vAlign w:val="bottom"/>
            <w:hideMark/>
          </w:tcPr>
          <w:p w14:paraId="5633C131"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 xml:space="preserve">Elgin </w:t>
            </w:r>
            <w:proofErr w:type="spellStart"/>
            <w:r w:rsidRPr="004B05C1">
              <w:rPr>
                <w:rFonts w:ascii="Calibri" w:eastAsia="Times New Roman" w:hAnsi="Calibri" w:cs="Calibri"/>
                <w:color w:val="000000"/>
                <w:sz w:val="22"/>
                <w:szCs w:val="22"/>
                <w:lang w:eastAsia="en-GB"/>
              </w:rPr>
              <w:t>Bishopmill</w:t>
            </w:r>
            <w:proofErr w:type="spellEnd"/>
            <w:r w:rsidRPr="004B05C1">
              <w:rPr>
                <w:rFonts w:ascii="Calibri" w:eastAsia="Times New Roman" w:hAnsi="Calibri" w:cs="Calibri"/>
                <w:color w:val="000000"/>
                <w:sz w:val="22"/>
                <w:szCs w:val="22"/>
                <w:lang w:eastAsia="en-GB"/>
              </w:rPr>
              <w:t xml:space="preserve"> East and </w:t>
            </w:r>
            <w:proofErr w:type="spellStart"/>
            <w:r w:rsidRPr="004B05C1">
              <w:rPr>
                <w:rFonts w:ascii="Calibri" w:eastAsia="Times New Roman" w:hAnsi="Calibri" w:cs="Calibri"/>
                <w:color w:val="000000"/>
                <w:sz w:val="22"/>
                <w:szCs w:val="22"/>
                <w:lang w:eastAsia="en-GB"/>
              </w:rPr>
              <w:t>Ladyhill</w:t>
            </w:r>
            <w:proofErr w:type="spellEnd"/>
          </w:p>
        </w:tc>
        <w:tc>
          <w:tcPr>
            <w:tcW w:w="2531" w:type="dxa"/>
            <w:tcBorders>
              <w:top w:val="nil"/>
              <w:left w:val="nil"/>
              <w:bottom w:val="single" w:sz="4" w:space="0" w:color="auto"/>
              <w:right w:val="single" w:sz="4" w:space="0" w:color="auto"/>
            </w:tcBorders>
            <w:shd w:val="clear" w:color="auto" w:fill="auto"/>
            <w:noWrap/>
            <w:vAlign w:val="bottom"/>
            <w:hideMark/>
          </w:tcPr>
          <w:p w14:paraId="1A876738"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Elgin Academy</w:t>
            </w:r>
          </w:p>
        </w:tc>
        <w:tc>
          <w:tcPr>
            <w:tcW w:w="1382" w:type="dxa"/>
            <w:tcBorders>
              <w:top w:val="nil"/>
              <w:left w:val="nil"/>
              <w:bottom w:val="single" w:sz="4" w:space="0" w:color="auto"/>
              <w:right w:val="single" w:sz="4" w:space="0" w:color="auto"/>
            </w:tcBorders>
            <w:shd w:val="clear" w:color="auto" w:fill="auto"/>
            <w:noWrap/>
            <w:vAlign w:val="bottom"/>
            <w:hideMark/>
          </w:tcPr>
          <w:p w14:paraId="578F90D4"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w:t>
            </w:r>
          </w:p>
        </w:tc>
        <w:tc>
          <w:tcPr>
            <w:tcW w:w="1190" w:type="dxa"/>
            <w:tcBorders>
              <w:top w:val="nil"/>
              <w:left w:val="nil"/>
              <w:bottom w:val="single" w:sz="4" w:space="0" w:color="auto"/>
              <w:right w:val="single" w:sz="4" w:space="0" w:color="auto"/>
            </w:tcBorders>
            <w:shd w:val="clear" w:color="auto" w:fill="auto"/>
            <w:noWrap/>
            <w:vAlign w:val="bottom"/>
            <w:hideMark/>
          </w:tcPr>
          <w:p w14:paraId="39B40BC7"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527</w:t>
            </w:r>
          </w:p>
        </w:tc>
        <w:tc>
          <w:tcPr>
            <w:tcW w:w="1167" w:type="dxa"/>
            <w:tcBorders>
              <w:top w:val="nil"/>
              <w:left w:val="nil"/>
              <w:bottom w:val="single" w:sz="4" w:space="0" w:color="auto"/>
              <w:right w:val="single" w:sz="4" w:space="0" w:color="auto"/>
            </w:tcBorders>
            <w:shd w:val="clear" w:color="auto" w:fill="auto"/>
            <w:noWrap/>
            <w:vAlign w:val="bottom"/>
            <w:hideMark/>
          </w:tcPr>
          <w:p w14:paraId="4B34A74F"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5</w:t>
            </w:r>
          </w:p>
        </w:tc>
        <w:tc>
          <w:tcPr>
            <w:tcW w:w="1083" w:type="dxa"/>
            <w:tcBorders>
              <w:top w:val="nil"/>
              <w:left w:val="nil"/>
              <w:bottom w:val="single" w:sz="4" w:space="0" w:color="auto"/>
              <w:right w:val="single" w:sz="4" w:space="0" w:color="auto"/>
            </w:tcBorders>
            <w:shd w:val="clear" w:color="auto" w:fill="auto"/>
            <w:noWrap/>
            <w:vAlign w:val="bottom"/>
            <w:hideMark/>
          </w:tcPr>
          <w:p w14:paraId="3E036F9F"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6</w:t>
            </w:r>
          </w:p>
        </w:tc>
        <w:tc>
          <w:tcPr>
            <w:tcW w:w="1029" w:type="dxa"/>
            <w:tcBorders>
              <w:top w:val="nil"/>
              <w:left w:val="nil"/>
              <w:bottom w:val="single" w:sz="4" w:space="0" w:color="auto"/>
              <w:right w:val="single" w:sz="4" w:space="0" w:color="auto"/>
            </w:tcBorders>
            <w:shd w:val="clear" w:color="auto" w:fill="auto"/>
            <w:noWrap/>
            <w:vAlign w:val="bottom"/>
            <w:hideMark/>
          </w:tcPr>
          <w:p w14:paraId="24DDEC26"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w:t>
            </w:r>
          </w:p>
        </w:tc>
        <w:tc>
          <w:tcPr>
            <w:tcW w:w="1290" w:type="dxa"/>
            <w:tcBorders>
              <w:top w:val="nil"/>
              <w:left w:val="nil"/>
              <w:bottom w:val="single" w:sz="4" w:space="0" w:color="FFFFFF"/>
              <w:right w:val="single" w:sz="4" w:space="0" w:color="auto"/>
            </w:tcBorders>
            <w:shd w:val="clear" w:color="000000" w:fill="16365C"/>
            <w:noWrap/>
            <w:vAlign w:val="bottom"/>
            <w:hideMark/>
          </w:tcPr>
          <w:p w14:paraId="70B928EC" w14:textId="77777777" w:rsidR="004B05C1" w:rsidRPr="004B05C1" w:rsidRDefault="004B05C1" w:rsidP="004B05C1">
            <w:pPr>
              <w:spacing w:before="0" w:after="0" w:line="240" w:lineRule="auto"/>
              <w:jc w:val="center"/>
              <w:rPr>
                <w:rFonts w:ascii="Calibri" w:eastAsia="Times New Roman" w:hAnsi="Calibri" w:cs="Calibri"/>
                <w:color w:val="FFFFFF"/>
                <w:sz w:val="22"/>
                <w:szCs w:val="22"/>
                <w:lang w:eastAsia="en-GB"/>
              </w:rPr>
            </w:pPr>
            <w:r w:rsidRPr="004B05C1">
              <w:rPr>
                <w:rFonts w:ascii="Calibri" w:eastAsia="Times New Roman" w:hAnsi="Calibri" w:cs="Calibri"/>
                <w:color w:val="FFFFFF"/>
                <w:sz w:val="22"/>
                <w:szCs w:val="22"/>
                <w:lang w:eastAsia="en-GB"/>
              </w:rPr>
              <w:t>29.9%</w:t>
            </w:r>
          </w:p>
        </w:tc>
        <w:tc>
          <w:tcPr>
            <w:tcW w:w="1569" w:type="dxa"/>
            <w:tcBorders>
              <w:top w:val="single" w:sz="4" w:space="0" w:color="auto"/>
              <w:left w:val="single" w:sz="4" w:space="0" w:color="auto"/>
              <w:bottom w:val="single" w:sz="4" w:space="0" w:color="auto"/>
              <w:right w:val="single" w:sz="4" w:space="0" w:color="auto"/>
            </w:tcBorders>
            <w:shd w:val="clear" w:color="000000" w:fill="FBB7BA"/>
            <w:noWrap/>
            <w:vAlign w:val="bottom"/>
            <w:hideMark/>
          </w:tcPr>
          <w:p w14:paraId="0A63CBA4"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157</w:t>
            </w:r>
          </w:p>
        </w:tc>
        <w:tc>
          <w:tcPr>
            <w:tcW w:w="130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1880741"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6.2%</w:t>
            </w:r>
          </w:p>
        </w:tc>
        <w:tc>
          <w:tcPr>
            <w:tcW w:w="2372" w:type="dxa"/>
            <w:tcBorders>
              <w:top w:val="nil"/>
              <w:left w:val="nil"/>
              <w:bottom w:val="single" w:sz="4" w:space="0" w:color="auto"/>
              <w:right w:val="single" w:sz="8" w:space="0" w:color="auto"/>
            </w:tcBorders>
            <w:shd w:val="clear" w:color="auto" w:fill="auto"/>
            <w:noWrap/>
            <w:vAlign w:val="bottom"/>
            <w:hideMark/>
          </w:tcPr>
          <w:p w14:paraId="4A8B16B0"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33</w:t>
            </w:r>
          </w:p>
        </w:tc>
      </w:tr>
      <w:tr w:rsidR="004B05C1" w:rsidRPr="004B05C1" w14:paraId="55A5C232" w14:textId="77777777" w:rsidTr="004B05C1">
        <w:trPr>
          <w:trHeight w:val="285"/>
        </w:trPr>
        <w:tc>
          <w:tcPr>
            <w:tcW w:w="929" w:type="dxa"/>
            <w:tcBorders>
              <w:top w:val="nil"/>
              <w:left w:val="single" w:sz="8" w:space="0" w:color="auto"/>
              <w:bottom w:val="single" w:sz="4" w:space="0" w:color="auto"/>
              <w:right w:val="single" w:sz="4" w:space="0" w:color="auto"/>
            </w:tcBorders>
            <w:shd w:val="clear" w:color="auto" w:fill="auto"/>
            <w:noWrap/>
            <w:vAlign w:val="bottom"/>
            <w:hideMark/>
          </w:tcPr>
          <w:p w14:paraId="6CDF4D1E"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7</w:t>
            </w:r>
          </w:p>
        </w:tc>
        <w:tc>
          <w:tcPr>
            <w:tcW w:w="5837" w:type="dxa"/>
            <w:tcBorders>
              <w:top w:val="nil"/>
              <w:left w:val="nil"/>
              <w:bottom w:val="single" w:sz="4" w:space="0" w:color="auto"/>
              <w:right w:val="single" w:sz="4" w:space="0" w:color="auto"/>
            </w:tcBorders>
            <w:shd w:val="clear" w:color="auto" w:fill="auto"/>
            <w:noWrap/>
            <w:vAlign w:val="bottom"/>
            <w:hideMark/>
          </w:tcPr>
          <w:p w14:paraId="4D9E5808"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Lossiemouth West</w:t>
            </w:r>
          </w:p>
        </w:tc>
        <w:tc>
          <w:tcPr>
            <w:tcW w:w="2531" w:type="dxa"/>
            <w:tcBorders>
              <w:top w:val="nil"/>
              <w:left w:val="nil"/>
              <w:bottom w:val="single" w:sz="4" w:space="0" w:color="auto"/>
              <w:right w:val="single" w:sz="4" w:space="0" w:color="auto"/>
            </w:tcBorders>
            <w:shd w:val="clear" w:color="auto" w:fill="auto"/>
            <w:noWrap/>
            <w:vAlign w:val="bottom"/>
            <w:hideMark/>
          </w:tcPr>
          <w:p w14:paraId="4EA4068B"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Lossiemouth High School</w:t>
            </w:r>
          </w:p>
        </w:tc>
        <w:tc>
          <w:tcPr>
            <w:tcW w:w="1382" w:type="dxa"/>
            <w:tcBorders>
              <w:top w:val="nil"/>
              <w:left w:val="nil"/>
              <w:bottom w:val="single" w:sz="4" w:space="0" w:color="auto"/>
              <w:right w:val="single" w:sz="4" w:space="0" w:color="auto"/>
            </w:tcBorders>
            <w:shd w:val="clear" w:color="auto" w:fill="auto"/>
            <w:noWrap/>
            <w:vAlign w:val="bottom"/>
            <w:hideMark/>
          </w:tcPr>
          <w:p w14:paraId="059BE1F5"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w:t>
            </w:r>
          </w:p>
        </w:tc>
        <w:tc>
          <w:tcPr>
            <w:tcW w:w="1190" w:type="dxa"/>
            <w:tcBorders>
              <w:top w:val="nil"/>
              <w:left w:val="nil"/>
              <w:bottom w:val="single" w:sz="4" w:space="0" w:color="auto"/>
              <w:right w:val="single" w:sz="4" w:space="0" w:color="auto"/>
            </w:tcBorders>
            <w:shd w:val="clear" w:color="auto" w:fill="auto"/>
            <w:noWrap/>
            <w:vAlign w:val="bottom"/>
            <w:hideMark/>
          </w:tcPr>
          <w:p w14:paraId="48383737"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805</w:t>
            </w:r>
          </w:p>
        </w:tc>
        <w:tc>
          <w:tcPr>
            <w:tcW w:w="1167" w:type="dxa"/>
            <w:tcBorders>
              <w:top w:val="nil"/>
              <w:left w:val="nil"/>
              <w:bottom w:val="single" w:sz="4" w:space="0" w:color="auto"/>
              <w:right w:val="single" w:sz="4" w:space="0" w:color="auto"/>
            </w:tcBorders>
            <w:shd w:val="clear" w:color="auto" w:fill="auto"/>
            <w:noWrap/>
            <w:vAlign w:val="bottom"/>
            <w:hideMark/>
          </w:tcPr>
          <w:p w14:paraId="2FAB1033"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6</w:t>
            </w:r>
          </w:p>
        </w:tc>
        <w:tc>
          <w:tcPr>
            <w:tcW w:w="1083" w:type="dxa"/>
            <w:tcBorders>
              <w:top w:val="nil"/>
              <w:left w:val="nil"/>
              <w:bottom w:val="single" w:sz="4" w:space="0" w:color="auto"/>
              <w:right w:val="single" w:sz="4" w:space="0" w:color="auto"/>
            </w:tcBorders>
            <w:shd w:val="clear" w:color="auto" w:fill="auto"/>
            <w:noWrap/>
            <w:vAlign w:val="bottom"/>
            <w:hideMark/>
          </w:tcPr>
          <w:p w14:paraId="5099387D"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7</w:t>
            </w:r>
          </w:p>
        </w:tc>
        <w:tc>
          <w:tcPr>
            <w:tcW w:w="1029" w:type="dxa"/>
            <w:tcBorders>
              <w:top w:val="nil"/>
              <w:left w:val="nil"/>
              <w:bottom w:val="single" w:sz="4" w:space="0" w:color="auto"/>
              <w:right w:val="single" w:sz="4" w:space="0" w:color="auto"/>
            </w:tcBorders>
            <w:shd w:val="clear" w:color="auto" w:fill="auto"/>
            <w:noWrap/>
            <w:vAlign w:val="bottom"/>
            <w:hideMark/>
          </w:tcPr>
          <w:p w14:paraId="2118E396"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w:t>
            </w:r>
          </w:p>
        </w:tc>
        <w:tc>
          <w:tcPr>
            <w:tcW w:w="1290" w:type="dxa"/>
            <w:tcBorders>
              <w:top w:val="nil"/>
              <w:left w:val="nil"/>
              <w:bottom w:val="single" w:sz="4" w:space="0" w:color="FFFFFF"/>
              <w:right w:val="single" w:sz="4" w:space="0" w:color="auto"/>
            </w:tcBorders>
            <w:shd w:val="clear" w:color="000000" w:fill="16365C"/>
            <w:noWrap/>
            <w:vAlign w:val="bottom"/>
            <w:hideMark/>
          </w:tcPr>
          <w:p w14:paraId="52DFB29B" w14:textId="77777777" w:rsidR="004B05C1" w:rsidRPr="004B05C1" w:rsidRDefault="004B05C1" w:rsidP="004B05C1">
            <w:pPr>
              <w:spacing w:before="0" w:after="0" w:line="240" w:lineRule="auto"/>
              <w:jc w:val="center"/>
              <w:rPr>
                <w:rFonts w:ascii="Calibri" w:eastAsia="Times New Roman" w:hAnsi="Calibri" w:cs="Calibri"/>
                <w:color w:val="FFFFFF"/>
                <w:sz w:val="22"/>
                <w:szCs w:val="22"/>
                <w:lang w:eastAsia="en-GB"/>
              </w:rPr>
            </w:pPr>
            <w:r w:rsidRPr="004B05C1">
              <w:rPr>
                <w:rFonts w:ascii="Calibri" w:eastAsia="Times New Roman" w:hAnsi="Calibri" w:cs="Calibri"/>
                <w:color w:val="FFFFFF"/>
                <w:sz w:val="22"/>
                <w:szCs w:val="22"/>
                <w:lang w:eastAsia="en-GB"/>
              </w:rPr>
              <w:t>26.6%</w:t>
            </w:r>
          </w:p>
        </w:tc>
        <w:tc>
          <w:tcPr>
            <w:tcW w:w="1569" w:type="dxa"/>
            <w:tcBorders>
              <w:top w:val="single" w:sz="4" w:space="0" w:color="auto"/>
              <w:left w:val="single" w:sz="4" w:space="0" w:color="auto"/>
              <w:bottom w:val="single" w:sz="4" w:space="0" w:color="auto"/>
              <w:right w:val="single" w:sz="4" w:space="0" w:color="auto"/>
            </w:tcBorders>
            <w:shd w:val="clear" w:color="000000" w:fill="FA999C"/>
            <w:noWrap/>
            <w:vAlign w:val="bottom"/>
            <w:hideMark/>
          </w:tcPr>
          <w:p w14:paraId="6AD3B83A"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214</w:t>
            </w:r>
          </w:p>
        </w:tc>
        <w:tc>
          <w:tcPr>
            <w:tcW w:w="130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74F73B1"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6.3%</w:t>
            </w:r>
          </w:p>
        </w:tc>
        <w:tc>
          <w:tcPr>
            <w:tcW w:w="2372" w:type="dxa"/>
            <w:tcBorders>
              <w:top w:val="nil"/>
              <w:left w:val="nil"/>
              <w:bottom w:val="single" w:sz="4" w:space="0" w:color="auto"/>
              <w:right w:val="single" w:sz="8" w:space="0" w:color="auto"/>
            </w:tcBorders>
            <w:shd w:val="clear" w:color="auto" w:fill="auto"/>
            <w:noWrap/>
            <w:vAlign w:val="bottom"/>
            <w:hideMark/>
          </w:tcPr>
          <w:p w14:paraId="1E16396D"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51</w:t>
            </w:r>
          </w:p>
        </w:tc>
      </w:tr>
      <w:tr w:rsidR="004B05C1" w:rsidRPr="004B05C1" w14:paraId="3E86B385" w14:textId="77777777" w:rsidTr="004B05C1">
        <w:trPr>
          <w:trHeight w:val="285"/>
        </w:trPr>
        <w:tc>
          <w:tcPr>
            <w:tcW w:w="929" w:type="dxa"/>
            <w:tcBorders>
              <w:top w:val="nil"/>
              <w:left w:val="single" w:sz="8" w:space="0" w:color="auto"/>
              <w:bottom w:val="single" w:sz="4" w:space="0" w:color="auto"/>
              <w:right w:val="single" w:sz="4" w:space="0" w:color="auto"/>
            </w:tcBorders>
            <w:shd w:val="clear" w:color="auto" w:fill="auto"/>
            <w:noWrap/>
            <w:vAlign w:val="bottom"/>
            <w:hideMark/>
          </w:tcPr>
          <w:p w14:paraId="5317C976"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8</w:t>
            </w:r>
          </w:p>
        </w:tc>
        <w:tc>
          <w:tcPr>
            <w:tcW w:w="5837" w:type="dxa"/>
            <w:tcBorders>
              <w:top w:val="nil"/>
              <w:left w:val="nil"/>
              <w:bottom w:val="single" w:sz="4" w:space="0" w:color="auto"/>
              <w:right w:val="single" w:sz="4" w:space="0" w:color="auto"/>
            </w:tcBorders>
            <w:shd w:val="clear" w:color="auto" w:fill="auto"/>
            <w:noWrap/>
            <w:vAlign w:val="bottom"/>
            <w:hideMark/>
          </w:tcPr>
          <w:p w14:paraId="529890C7"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 xml:space="preserve">Cullen, </w:t>
            </w:r>
            <w:proofErr w:type="spellStart"/>
            <w:r w:rsidRPr="004B05C1">
              <w:rPr>
                <w:rFonts w:ascii="Calibri" w:eastAsia="Times New Roman" w:hAnsi="Calibri" w:cs="Calibri"/>
                <w:color w:val="000000"/>
                <w:sz w:val="22"/>
                <w:szCs w:val="22"/>
                <w:lang w:eastAsia="en-GB"/>
              </w:rPr>
              <w:t>Portknockie</w:t>
            </w:r>
            <w:proofErr w:type="spellEnd"/>
            <w:r w:rsidRPr="004B05C1">
              <w:rPr>
                <w:rFonts w:ascii="Calibri" w:eastAsia="Times New Roman" w:hAnsi="Calibri" w:cs="Calibri"/>
                <w:color w:val="000000"/>
                <w:sz w:val="22"/>
                <w:szCs w:val="22"/>
                <w:lang w:eastAsia="en-GB"/>
              </w:rPr>
              <w:t xml:space="preserve">, </w:t>
            </w:r>
            <w:proofErr w:type="spellStart"/>
            <w:r w:rsidRPr="004B05C1">
              <w:rPr>
                <w:rFonts w:ascii="Calibri" w:eastAsia="Times New Roman" w:hAnsi="Calibri" w:cs="Calibri"/>
                <w:color w:val="000000"/>
                <w:sz w:val="22"/>
                <w:szCs w:val="22"/>
                <w:lang w:eastAsia="en-GB"/>
              </w:rPr>
              <w:t>Findochty</w:t>
            </w:r>
            <w:proofErr w:type="spellEnd"/>
            <w:r w:rsidRPr="004B05C1">
              <w:rPr>
                <w:rFonts w:ascii="Calibri" w:eastAsia="Times New Roman" w:hAnsi="Calibri" w:cs="Calibri"/>
                <w:color w:val="000000"/>
                <w:sz w:val="22"/>
                <w:szCs w:val="22"/>
                <w:lang w:eastAsia="en-GB"/>
              </w:rPr>
              <w:t xml:space="preserve">, </w:t>
            </w:r>
            <w:proofErr w:type="spellStart"/>
            <w:r w:rsidRPr="004B05C1">
              <w:rPr>
                <w:rFonts w:ascii="Calibri" w:eastAsia="Times New Roman" w:hAnsi="Calibri" w:cs="Calibri"/>
                <w:color w:val="000000"/>
                <w:sz w:val="22"/>
                <w:szCs w:val="22"/>
                <w:lang w:eastAsia="en-GB"/>
              </w:rPr>
              <w:t>Drybridge</w:t>
            </w:r>
            <w:proofErr w:type="spellEnd"/>
            <w:r w:rsidRPr="004B05C1">
              <w:rPr>
                <w:rFonts w:ascii="Calibri" w:eastAsia="Times New Roman" w:hAnsi="Calibri" w:cs="Calibri"/>
                <w:color w:val="000000"/>
                <w:sz w:val="22"/>
                <w:szCs w:val="22"/>
                <w:lang w:eastAsia="en-GB"/>
              </w:rPr>
              <w:t xml:space="preserve"> and </w:t>
            </w:r>
            <w:proofErr w:type="spellStart"/>
            <w:r w:rsidRPr="004B05C1">
              <w:rPr>
                <w:rFonts w:ascii="Calibri" w:eastAsia="Times New Roman" w:hAnsi="Calibri" w:cs="Calibri"/>
                <w:color w:val="000000"/>
                <w:sz w:val="22"/>
                <w:szCs w:val="22"/>
                <w:lang w:eastAsia="en-GB"/>
              </w:rPr>
              <w:t>Berryhillock</w:t>
            </w:r>
            <w:proofErr w:type="spellEnd"/>
          </w:p>
        </w:tc>
        <w:tc>
          <w:tcPr>
            <w:tcW w:w="2531" w:type="dxa"/>
            <w:tcBorders>
              <w:top w:val="nil"/>
              <w:left w:val="nil"/>
              <w:bottom w:val="single" w:sz="4" w:space="0" w:color="auto"/>
              <w:right w:val="single" w:sz="4" w:space="0" w:color="auto"/>
            </w:tcBorders>
            <w:shd w:val="clear" w:color="auto" w:fill="auto"/>
            <w:noWrap/>
            <w:vAlign w:val="bottom"/>
            <w:hideMark/>
          </w:tcPr>
          <w:p w14:paraId="41F70520"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Buckie High School</w:t>
            </w:r>
          </w:p>
        </w:tc>
        <w:tc>
          <w:tcPr>
            <w:tcW w:w="1382"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3C8C6681"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w:t>
            </w:r>
          </w:p>
        </w:tc>
        <w:tc>
          <w:tcPr>
            <w:tcW w:w="1190" w:type="dxa"/>
            <w:tcBorders>
              <w:top w:val="nil"/>
              <w:left w:val="nil"/>
              <w:bottom w:val="single" w:sz="4" w:space="0" w:color="auto"/>
              <w:right w:val="single" w:sz="4" w:space="0" w:color="auto"/>
            </w:tcBorders>
            <w:shd w:val="clear" w:color="auto" w:fill="auto"/>
            <w:noWrap/>
            <w:vAlign w:val="bottom"/>
            <w:hideMark/>
          </w:tcPr>
          <w:p w14:paraId="71454072"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843</w:t>
            </w:r>
          </w:p>
        </w:tc>
        <w:tc>
          <w:tcPr>
            <w:tcW w:w="1167" w:type="dxa"/>
            <w:tcBorders>
              <w:top w:val="nil"/>
              <w:left w:val="nil"/>
              <w:bottom w:val="single" w:sz="4" w:space="0" w:color="auto"/>
              <w:right w:val="single" w:sz="4" w:space="0" w:color="auto"/>
            </w:tcBorders>
            <w:shd w:val="clear" w:color="auto" w:fill="auto"/>
            <w:noWrap/>
            <w:vAlign w:val="bottom"/>
            <w:hideMark/>
          </w:tcPr>
          <w:p w14:paraId="08C6509A"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7</w:t>
            </w:r>
          </w:p>
        </w:tc>
        <w:tc>
          <w:tcPr>
            <w:tcW w:w="1083" w:type="dxa"/>
            <w:tcBorders>
              <w:top w:val="nil"/>
              <w:left w:val="nil"/>
              <w:bottom w:val="single" w:sz="4" w:space="0" w:color="auto"/>
              <w:right w:val="single" w:sz="4" w:space="0" w:color="auto"/>
            </w:tcBorders>
            <w:shd w:val="clear" w:color="auto" w:fill="auto"/>
            <w:noWrap/>
            <w:vAlign w:val="bottom"/>
            <w:hideMark/>
          </w:tcPr>
          <w:p w14:paraId="3B0EC8BC"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9</w:t>
            </w:r>
          </w:p>
        </w:tc>
        <w:tc>
          <w:tcPr>
            <w:tcW w:w="1029"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137B541"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w:t>
            </w:r>
          </w:p>
        </w:tc>
        <w:tc>
          <w:tcPr>
            <w:tcW w:w="1290" w:type="dxa"/>
            <w:tcBorders>
              <w:top w:val="nil"/>
              <w:left w:val="nil"/>
              <w:bottom w:val="single" w:sz="4" w:space="0" w:color="FFFFFF"/>
              <w:right w:val="single" w:sz="4" w:space="0" w:color="auto"/>
            </w:tcBorders>
            <w:shd w:val="clear" w:color="000000" w:fill="16365C"/>
            <w:noWrap/>
            <w:vAlign w:val="bottom"/>
            <w:hideMark/>
          </w:tcPr>
          <w:p w14:paraId="11315A1B" w14:textId="77777777" w:rsidR="004B05C1" w:rsidRPr="004B05C1" w:rsidRDefault="004B05C1" w:rsidP="004B05C1">
            <w:pPr>
              <w:spacing w:before="0" w:after="0" w:line="240" w:lineRule="auto"/>
              <w:jc w:val="center"/>
              <w:rPr>
                <w:rFonts w:ascii="Calibri" w:eastAsia="Times New Roman" w:hAnsi="Calibri" w:cs="Calibri"/>
                <w:color w:val="FFFFFF"/>
                <w:sz w:val="22"/>
                <w:szCs w:val="22"/>
                <w:lang w:eastAsia="en-GB"/>
              </w:rPr>
            </w:pPr>
            <w:r w:rsidRPr="004B05C1">
              <w:rPr>
                <w:rFonts w:ascii="Calibri" w:eastAsia="Times New Roman" w:hAnsi="Calibri" w:cs="Calibri"/>
                <w:color w:val="FFFFFF"/>
                <w:sz w:val="22"/>
                <w:szCs w:val="22"/>
                <w:lang w:eastAsia="en-GB"/>
              </w:rPr>
              <w:t>30.9%</w:t>
            </w:r>
          </w:p>
        </w:tc>
        <w:tc>
          <w:tcPr>
            <w:tcW w:w="1569" w:type="dxa"/>
            <w:tcBorders>
              <w:top w:val="single" w:sz="4" w:space="0" w:color="auto"/>
              <w:left w:val="single" w:sz="4" w:space="0" w:color="auto"/>
              <w:bottom w:val="single" w:sz="4" w:space="0" w:color="auto"/>
              <w:right w:val="single" w:sz="4" w:space="0" w:color="auto"/>
            </w:tcBorders>
            <w:shd w:val="clear" w:color="000000" w:fill="F98183"/>
            <w:noWrap/>
            <w:vAlign w:val="bottom"/>
            <w:hideMark/>
          </w:tcPr>
          <w:p w14:paraId="2D5A68F8"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261</w:t>
            </w:r>
          </w:p>
        </w:tc>
        <w:tc>
          <w:tcPr>
            <w:tcW w:w="130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079BD8D"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4.1%</w:t>
            </w:r>
          </w:p>
        </w:tc>
        <w:tc>
          <w:tcPr>
            <w:tcW w:w="2372" w:type="dxa"/>
            <w:tcBorders>
              <w:top w:val="nil"/>
              <w:left w:val="nil"/>
              <w:bottom w:val="single" w:sz="4" w:space="0" w:color="auto"/>
              <w:right w:val="single" w:sz="8" w:space="0" w:color="auto"/>
            </w:tcBorders>
            <w:shd w:val="clear" w:color="auto" w:fill="auto"/>
            <w:noWrap/>
            <w:vAlign w:val="bottom"/>
            <w:hideMark/>
          </w:tcPr>
          <w:p w14:paraId="59697A53"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35</w:t>
            </w:r>
          </w:p>
        </w:tc>
      </w:tr>
      <w:tr w:rsidR="004B05C1" w:rsidRPr="004B05C1" w14:paraId="45910952" w14:textId="77777777" w:rsidTr="004B05C1">
        <w:trPr>
          <w:trHeight w:val="285"/>
        </w:trPr>
        <w:tc>
          <w:tcPr>
            <w:tcW w:w="929" w:type="dxa"/>
            <w:tcBorders>
              <w:top w:val="nil"/>
              <w:left w:val="single" w:sz="8" w:space="0" w:color="auto"/>
              <w:bottom w:val="single" w:sz="4" w:space="0" w:color="auto"/>
              <w:right w:val="single" w:sz="4" w:space="0" w:color="auto"/>
            </w:tcBorders>
            <w:shd w:val="clear" w:color="auto" w:fill="auto"/>
            <w:noWrap/>
            <w:vAlign w:val="bottom"/>
            <w:hideMark/>
          </w:tcPr>
          <w:p w14:paraId="50A1D3CD"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9</w:t>
            </w:r>
          </w:p>
        </w:tc>
        <w:tc>
          <w:tcPr>
            <w:tcW w:w="5837" w:type="dxa"/>
            <w:tcBorders>
              <w:top w:val="nil"/>
              <w:left w:val="nil"/>
              <w:bottom w:val="single" w:sz="4" w:space="0" w:color="auto"/>
              <w:right w:val="single" w:sz="4" w:space="0" w:color="auto"/>
            </w:tcBorders>
            <w:shd w:val="clear" w:color="auto" w:fill="auto"/>
            <w:noWrap/>
            <w:vAlign w:val="bottom"/>
            <w:hideMark/>
          </w:tcPr>
          <w:p w14:paraId="6B473B2F"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 xml:space="preserve">Fochabers, </w:t>
            </w:r>
            <w:proofErr w:type="spellStart"/>
            <w:r w:rsidRPr="004B05C1">
              <w:rPr>
                <w:rFonts w:ascii="Calibri" w:eastAsia="Times New Roman" w:hAnsi="Calibri" w:cs="Calibri"/>
                <w:color w:val="000000"/>
                <w:sz w:val="22"/>
                <w:szCs w:val="22"/>
                <w:lang w:eastAsia="en-GB"/>
              </w:rPr>
              <w:t>Aultmore</w:t>
            </w:r>
            <w:proofErr w:type="spellEnd"/>
            <w:r w:rsidRPr="004B05C1">
              <w:rPr>
                <w:rFonts w:ascii="Calibri" w:eastAsia="Times New Roman" w:hAnsi="Calibri" w:cs="Calibri"/>
                <w:color w:val="000000"/>
                <w:sz w:val="22"/>
                <w:szCs w:val="22"/>
                <w:lang w:eastAsia="en-GB"/>
              </w:rPr>
              <w:t xml:space="preserve">, </w:t>
            </w:r>
            <w:proofErr w:type="spellStart"/>
            <w:r w:rsidRPr="004B05C1">
              <w:rPr>
                <w:rFonts w:ascii="Calibri" w:eastAsia="Times New Roman" w:hAnsi="Calibri" w:cs="Calibri"/>
                <w:color w:val="000000"/>
                <w:sz w:val="22"/>
                <w:szCs w:val="22"/>
                <w:lang w:eastAsia="en-GB"/>
              </w:rPr>
              <w:t>Clochan</w:t>
            </w:r>
            <w:proofErr w:type="spellEnd"/>
            <w:r w:rsidRPr="004B05C1">
              <w:rPr>
                <w:rFonts w:ascii="Calibri" w:eastAsia="Times New Roman" w:hAnsi="Calibri" w:cs="Calibri"/>
                <w:color w:val="000000"/>
                <w:sz w:val="22"/>
                <w:szCs w:val="22"/>
                <w:lang w:eastAsia="en-GB"/>
              </w:rPr>
              <w:t xml:space="preserve"> and </w:t>
            </w:r>
            <w:proofErr w:type="spellStart"/>
            <w:r w:rsidRPr="004B05C1">
              <w:rPr>
                <w:rFonts w:ascii="Calibri" w:eastAsia="Times New Roman" w:hAnsi="Calibri" w:cs="Calibri"/>
                <w:color w:val="000000"/>
                <w:sz w:val="22"/>
                <w:szCs w:val="22"/>
                <w:lang w:eastAsia="en-GB"/>
              </w:rPr>
              <w:t>Ordiquish</w:t>
            </w:r>
            <w:proofErr w:type="spellEnd"/>
          </w:p>
        </w:tc>
        <w:tc>
          <w:tcPr>
            <w:tcW w:w="2531" w:type="dxa"/>
            <w:tcBorders>
              <w:top w:val="nil"/>
              <w:left w:val="nil"/>
              <w:bottom w:val="single" w:sz="4" w:space="0" w:color="auto"/>
              <w:right w:val="single" w:sz="4" w:space="0" w:color="auto"/>
            </w:tcBorders>
            <w:shd w:val="clear" w:color="auto" w:fill="auto"/>
            <w:noWrap/>
            <w:vAlign w:val="bottom"/>
            <w:hideMark/>
          </w:tcPr>
          <w:p w14:paraId="26B66081"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Milne's High School</w:t>
            </w:r>
          </w:p>
        </w:tc>
        <w:tc>
          <w:tcPr>
            <w:tcW w:w="1382"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3DA0F407"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w:t>
            </w:r>
          </w:p>
        </w:tc>
        <w:tc>
          <w:tcPr>
            <w:tcW w:w="1190" w:type="dxa"/>
            <w:tcBorders>
              <w:top w:val="nil"/>
              <w:left w:val="nil"/>
              <w:bottom w:val="single" w:sz="4" w:space="0" w:color="auto"/>
              <w:right w:val="single" w:sz="4" w:space="0" w:color="auto"/>
            </w:tcBorders>
            <w:shd w:val="clear" w:color="auto" w:fill="auto"/>
            <w:noWrap/>
            <w:vAlign w:val="bottom"/>
            <w:hideMark/>
          </w:tcPr>
          <w:p w14:paraId="62BE8F1A"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444</w:t>
            </w:r>
          </w:p>
        </w:tc>
        <w:tc>
          <w:tcPr>
            <w:tcW w:w="1167" w:type="dxa"/>
            <w:tcBorders>
              <w:top w:val="nil"/>
              <w:left w:val="nil"/>
              <w:bottom w:val="single" w:sz="4" w:space="0" w:color="auto"/>
              <w:right w:val="single" w:sz="4" w:space="0" w:color="auto"/>
            </w:tcBorders>
            <w:shd w:val="clear" w:color="auto" w:fill="auto"/>
            <w:noWrap/>
            <w:vAlign w:val="bottom"/>
            <w:hideMark/>
          </w:tcPr>
          <w:p w14:paraId="4384BB20"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6</w:t>
            </w:r>
          </w:p>
        </w:tc>
        <w:tc>
          <w:tcPr>
            <w:tcW w:w="1083" w:type="dxa"/>
            <w:tcBorders>
              <w:top w:val="nil"/>
              <w:left w:val="nil"/>
              <w:bottom w:val="single" w:sz="4" w:space="0" w:color="auto"/>
              <w:right w:val="single" w:sz="4" w:space="0" w:color="auto"/>
            </w:tcBorders>
            <w:shd w:val="clear" w:color="auto" w:fill="auto"/>
            <w:noWrap/>
            <w:vAlign w:val="bottom"/>
            <w:hideMark/>
          </w:tcPr>
          <w:p w14:paraId="560B9CEE"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8</w:t>
            </w:r>
          </w:p>
        </w:tc>
        <w:tc>
          <w:tcPr>
            <w:tcW w:w="1029"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6903C4B"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w:t>
            </w:r>
          </w:p>
        </w:tc>
        <w:tc>
          <w:tcPr>
            <w:tcW w:w="1290" w:type="dxa"/>
            <w:tcBorders>
              <w:top w:val="nil"/>
              <w:left w:val="nil"/>
              <w:bottom w:val="single" w:sz="4" w:space="0" w:color="FFFFFF"/>
              <w:right w:val="single" w:sz="4" w:space="0" w:color="auto"/>
            </w:tcBorders>
            <w:shd w:val="clear" w:color="000000" w:fill="16365C"/>
            <w:noWrap/>
            <w:vAlign w:val="bottom"/>
            <w:hideMark/>
          </w:tcPr>
          <w:p w14:paraId="3665B6F4" w14:textId="77777777" w:rsidR="004B05C1" w:rsidRPr="004B05C1" w:rsidRDefault="004B05C1" w:rsidP="004B05C1">
            <w:pPr>
              <w:spacing w:before="0" w:after="0" w:line="240" w:lineRule="auto"/>
              <w:jc w:val="center"/>
              <w:rPr>
                <w:rFonts w:ascii="Calibri" w:eastAsia="Times New Roman" w:hAnsi="Calibri" w:cs="Calibri"/>
                <w:color w:val="FFFFFF"/>
                <w:sz w:val="22"/>
                <w:szCs w:val="22"/>
                <w:lang w:eastAsia="en-GB"/>
              </w:rPr>
            </w:pPr>
            <w:r w:rsidRPr="004B05C1">
              <w:rPr>
                <w:rFonts w:ascii="Calibri" w:eastAsia="Times New Roman" w:hAnsi="Calibri" w:cs="Calibri"/>
                <w:color w:val="FFFFFF"/>
                <w:sz w:val="22"/>
                <w:szCs w:val="22"/>
                <w:lang w:eastAsia="en-GB"/>
              </w:rPr>
              <w:t>23.0%</w:t>
            </w:r>
          </w:p>
        </w:tc>
        <w:tc>
          <w:tcPr>
            <w:tcW w:w="1569" w:type="dxa"/>
            <w:tcBorders>
              <w:top w:val="single" w:sz="4" w:space="0" w:color="auto"/>
              <w:left w:val="single" w:sz="4" w:space="0" w:color="auto"/>
              <w:bottom w:val="single" w:sz="4" w:space="0" w:color="auto"/>
              <w:right w:val="single" w:sz="4" w:space="0" w:color="auto"/>
            </w:tcBorders>
            <w:shd w:val="clear" w:color="000000" w:fill="FBD5D7"/>
            <w:noWrap/>
            <w:vAlign w:val="bottom"/>
            <w:hideMark/>
          </w:tcPr>
          <w:p w14:paraId="772880D5"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102</w:t>
            </w:r>
          </w:p>
        </w:tc>
        <w:tc>
          <w:tcPr>
            <w:tcW w:w="1301"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7E3758B"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-0.8%</w:t>
            </w:r>
          </w:p>
        </w:tc>
        <w:tc>
          <w:tcPr>
            <w:tcW w:w="2372" w:type="dxa"/>
            <w:tcBorders>
              <w:top w:val="nil"/>
              <w:left w:val="nil"/>
              <w:bottom w:val="single" w:sz="4" w:space="0" w:color="auto"/>
              <w:right w:val="single" w:sz="8" w:space="0" w:color="auto"/>
            </w:tcBorders>
            <w:shd w:val="clear" w:color="auto" w:fill="auto"/>
            <w:noWrap/>
            <w:vAlign w:val="bottom"/>
            <w:hideMark/>
          </w:tcPr>
          <w:p w14:paraId="1C21539A"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-3</w:t>
            </w:r>
          </w:p>
        </w:tc>
      </w:tr>
      <w:tr w:rsidR="004B05C1" w:rsidRPr="004B05C1" w14:paraId="3C605420" w14:textId="77777777" w:rsidTr="004B05C1">
        <w:trPr>
          <w:trHeight w:val="293"/>
        </w:trPr>
        <w:tc>
          <w:tcPr>
            <w:tcW w:w="929" w:type="dxa"/>
            <w:tcBorders>
              <w:top w:val="nil"/>
              <w:left w:val="single" w:sz="8" w:space="0" w:color="auto"/>
              <w:bottom w:val="single" w:sz="4" w:space="0" w:color="auto"/>
              <w:right w:val="single" w:sz="4" w:space="0" w:color="auto"/>
            </w:tcBorders>
            <w:shd w:val="clear" w:color="auto" w:fill="auto"/>
            <w:noWrap/>
            <w:vAlign w:val="bottom"/>
            <w:hideMark/>
          </w:tcPr>
          <w:p w14:paraId="681F687A"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10</w:t>
            </w:r>
          </w:p>
        </w:tc>
        <w:tc>
          <w:tcPr>
            <w:tcW w:w="5837" w:type="dxa"/>
            <w:tcBorders>
              <w:top w:val="nil"/>
              <w:left w:val="nil"/>
              <w:bottom w:val="single" w:sz="4" w:space="0" w:color="auto"/>
              <w:right w:val="single" w:sz="4" w:space="0" w:color="auto"/>
            </w:tcBorders>
            <w:shd w:val="clear" w:color="auto" w:fill="auto"/>
            <w:noWrap/>
            <w:vAlign w:val="bottom"/>
            <w:hideMark/>
          </w:tcPr>
          <w:p w14:paraId="17F7FA6C"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Buckie West and Mains of Buckie</w:t>
            </w:r>
          </w:p>
        </w:tc>
        <w:tc>
          <w:tcPr>
            <w:tcW w:w="2531" w:type="dxa"/>
            <w:tcBorders>
              <w:top w:val="nil"/>
              <w:left w:val="nil"/>
              <w:bottom w:val="single" w:sz="4" w:space="0" w:color="auto"/>
              <w:right w:val="single" w:sz="4" w:space="0" w:color="auto"/>
            </w:tcBorders>
            <w:shd w:val="clear" w:color="auto" w:fill="auto"/>
            <w:noWrap/>
            <w:vAlign w:val="bottom"/>
            <w:hideMark/>
          </w:tcPr>
          <w:p w14:paraId="1F4EBC81"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Buckie High School</w:t>
            </w:r>
          </w:p>
        </w:tc>
        <w:tc>
          <w:tcPr>
            <w:tcW w:w="1382" w:type="dxa"/>
            <w:tcBorders>
              <w:top w:val="nil"/>
              <w:left w:val="nil"/>
              <w:bottom w:val="single" w:sz="4" w:space="0" w:color="auto"/>
              <w:right w:val="single" w:sz="4" w:space="0" w:color="auto"/>
            </w:tcBorders>
            <w:shd w:val="clear" w:color="auto" w:fill="auto"/>
            <w:noWrap/>
            <w:vAlign w:val="bottom"/>
            <w:hideMark/>
          </w:tcPr>
          <w:p w14:paraId="2AA26E57"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w:t>
            </w:r>
          </w:p>
        </w:tc>
        <w:tc>
          <w:tcPr>
            <w:tcW w:w="1190" w:type="dxa"/>
            <w:tcBorders>
              <w:top w:val="nil"/>
              <w:left w:val="nil"/>
              <w:bottom w:val="single" w:sz="4" w:space="0" w:color="auto"/>
              <w:right w:val="single" w:sz="4" w:space="0" w:color="auto"/>
            </w:tcBorders>
            <w:shd w:val="clear" w:color="auto" w:fill="auto"/>
            <w:noWrap/>
            <w:vAlign w:val="bottom"/>
            <w:hideMark/>
          </w:tcPr>
          <w:p w14:paraId="346FD267"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860</w:t>
            </w:r>
          </w:p>
        </w:tc>
        <w:tc>
          <w:tcPr>
            <w:tcW w:w="1167" w:type="dxa"/>
            <w:tcBorders>
              <w:top w:val="nil"/>
              <w:left w:val="nil"/>
              <w:bottom w:val="single" w:sz="4" w:space="0" w:color="auto"/>
              <w:right w:val="single" w:sz="4" w:space="0" w:color="auto"/>
            </w:tcBorders>
            <w:shd w:val="clear" w:color="auto" w:fill="auto"/>
            <w:noWrap/>
            <w:vAlign w:val="bottom"/>
            <w:hideMark/>
          </w:tcPr>
          <w:p w14:paraId="40E7883E"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6</w:t>
            </w:r>
          </w:p>
        </w:tc>
        <w:tc>
          <w:tcPr>
            <w:tcW w:w="1083" w:type="dxa"/>
            <w:tcBorders>
              <w:top w:val="nil"/>
              <w:left w:val="nil"/>
              <w:bottom w:val="single" w:sz="4" w:space="0" w:color="auto"/>
              <w:right w:val="single" w:sz="4" w:space="0" w:color="auto"/>
            </w:tcBorders>
            <w:shd w:val="clear" w:color="auto" w:fill="auto"/>
            <w:noWrap/>
            <w:vAlign w:val="bottom"/>
            <w:hideMark/>
          </w:tcPr>
          <w:p w14:paraId="0D628FAA"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12</w:t>
            </w:r>
          </w:p>
        </w:tc>
        <w:tc>
          <w:tcPr>
            <w:tcW w:w="1029"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92E17C5"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w:t>
            </w:r>
          </w:p>
        </w:tc>
        <w:tc>
          <w:tcPr>
            <w:tcW w:w="1290" w:type="dxa"/>
            <w:tcBorders>
              <w:top w:val="nil"/>
              <w:left w:val="nil"/>
              <w:bottom w:val="single" w:sz="4" w:space="0" w:color="FFFFFF"/>
              <w:right w:val="single" w:sz="4" w:space="0" w:color="auto"/>
            </w:tcBorders>
            <w:shd w:val="clear" w:color="000000" w:fill="16365C"/>
            <w:noWrap/>
            <w:vAlign w:val="bottom"/>
            <w:hideMark/>
          </w:tcPr>
          <w:p w14:paraId="18529E16" w14:textId="77777777" w:rsidR="004B05C1" w:rsidRPr="004B05C1" w:rsidRDefault="004B05C1" w:rsidP="004B05C1">
            <w:pPr>
              <w:spacing w:before="0" w:after="0" w:line="240" w:lineRule="auto"/>
              <w:jc w:val="center"/>
              <w:rPr>
                <w:rFonts w:ascii="Calibri" w:eastAsia="Times New Roman" w:hAnsi="Calibri" w:cs="Calibri"/>
                <w:color w:val="FFFFFF"/>
                <w:sz w:val="22"/>
                <w:szCs w:val="22"/>
                <w:lang w:eastAsia="en-GB"/>
              </w:rPr>
            </w:pPr>
            <w:r w:rsidRPr="004B05C1">
              <w:rPr>
                <w:rFonts w:ascii="Calibri" w:eastAsia="Times New Roman" w:hAnsi="Calibri" w:cs="Calibri"/>
                <w:color w:val="FFFFFF"/>
                <w:sz w:val="22"/>
                <w:szCs w:val="22"/>
                <w:lang w:eastAsia="en-GB"/>
              </w:rPr>
              <w:t>17.2%</w:t>
            </w:r>
          </w:p>
        </w:tc>
        <w:tc>
          <w:tcPr>
            <w:tcW w:w="1569" w:type="dxa"/>
            <w:tcBorders>
              <w:top w:val="single" w:sz="4" w:space="0" w:color="auto"/>
              <w:left w:val="single" w:sz="4" w:space="0" w:color="auto"/>
              <w:bottom w:val="single" w:sz="4" w:space="0" w:color="auto"/>
              <w:right w:val="single" w:sz="4" w:space="0" w:color="auto"/>
            </w:tcBorders>
            <w:shd w:val="clear" w:color="000000" w:fill="FBBCBF"/>
            <w:noWrap/>
            <w:vAlign w:val="bottom"/>
            <w:hideMark/>
          </w:tcPr>
          <w:p w14:paraId="34876A57"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148</w:t>
            </w:r>
          </w:p>
        </w:tc>
        <w:tc>
          <w:tcPr>
            <w:tcW w:w="130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A0755DC"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4.7%</w:t>
            </w:r>
          </w:p>
        </w:tc>
        <w:tc>
          <w:tcPr>
            <w:tcW w:w="2372" w:type="dxa"/>
            <w:tcBorders>
              <w:top w:val="nil"/>
              <w:left w:val="nil"/>
              <w:bottom w:val="single" w:sz="4" w:space="0" w:color="auto"/>
              <w:right w:val="single" w:sz="8" w:space="0" w:color="auto"/>
            </w:tcBorders>
            <w:shd w:val="clear" w:color="auto" w:fill="auto"/>
            <w:noWrap/>
            <w:vAlign w:val="bottom"/>
            <w:hideMark/>
          </w:tcPr>
          <w:p w14:paraId="1675B2FD"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41</w:t>
            </w:r>
          </w:p>
        </w:tc>
      </w:tr>
      <w:tr w:rsidR="004B05C1" w:rsidRPr="004B05C1" w14:paraId="7CBB672D" w14:textId="77777777" w:rsidTr="004B05C1">
        <w:trPr>
          <w:trHeight w:val="285"/>
        </w:trPr>
        <w:tc>
          <w:tcPr>
            <w:tcW w:w="929" w:type="dxa"/>
            <w:tcBorders>
              <w:top w:val="nil"/>
              <w:left w:val="single" w:sz="8" w:space="0" w:color="auto"/>
              <w:bottom w:val="single" w:sz="4" w:space="0" w:color="auto"/>
              <w:right w:val="single" w:sz="4" w:space="0" w:color="auto"/>
            </w:tcBorders>
            <w:shd w:val="clear" w:color="auto" w:fill="auto"/>
            <w:noWrap/>
            <w:vAlign w:val="bottom"/>
            <w:hideMark/>
          </w:tcPr>
          <w:p w14:paraId="56881CA6"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11</w:t>
            </w:r>
          </w:p>
        </w:tc>
        <w:tc>
          <w:tcPr>
            <w:tcW w:w="5837" w:type="dxa"/>
            <w:tcBorders>
              <w:top w:val="nil"/>
              <w:left w:val="nil"/>
              <w:bottom w:val="single" w:sz="4" w:space="0" w:color="auto"/>
              <w:right w:val="single" w:sz="4" w:space="0" w:color="auto"/>
            </w:tcBorders>
            <w:shd w:val="clear" w:color="auto" w:fill="auto"/>
            <w:noWrap/>
            <w:vAlign w:val="bottom"/>
            <w:hideMark/>
          </w:tcPr>
          <w:p w14:paraId="3EC00204"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proofErr w:type="spellStart"/>
            <w:r w:rsidRPr="004B05C1">
              <w:rPr>
                <w:rFonts w:ascii="Calibri" w:eastAsia="Times New Roman" w:hAnsi="Calibri" w:cs="Calibri"/>
                <w:color w:val="000000"/>
                <w:sz w:val="22"/>
                <w:szCs w:val="22"/>
                <w:lang w:eastAsia="en-GB"/>
              </w:rPr>
              <w:t>Lhanbryde</w:t>
            </w:r>
            <w:proofErr w:type="spellEnd"/>
            <w:r w:rsidRPr="004B05C1">
              <w:rPr>
                <w:rFonts w:ascii="Calibri" w:eastAsia="Times New Roman" w:hAnsi="Calibri" w:cs="Calibri"/>
                <w:color w:val="000000"/>
                <w:sz w:val="22"/>
                <w:szCs w:val="22"/>
                <w:lang w:eastAsia="en-GB"/>
              </w:rPr>
              <w:t xml:space="preserve">, Urquhart, </w:t>
            </w:r>
            <w:proofErr w:type="spellStart"/>
            <w:r w:rsidRPr="004B05C1">
              <w:rPr>
                <w:rFonts w:ascii="Calibri" w:eastAsia="Times New Roman" w:hAnsi="Calibri" w:cs="Calibri"/>
                <w:color w:val="000000"/>
                <w:sz w:val="22"/>
                <w:szCs w:val="22"/>
                <w:lang w:eastAsia="en-GB"/>
              </w:rPr>
              <w:t>Pitgavney</w:t>
            </w:r>
            <w:proofErr w:type="spellEnd"/>
            <w:r w:rsidRPr="004B05C1">
              <w:rPr>
                <w:rFonts w:ascii="Calibri" w:eastAsia="Times New Roman" w:hAnsi="Calibri" w:cs="Calibri"/>
                <w:color w:val="000000"/>
                <w:sz w:val="22"/>
                <w:szCs w:val="22"/>
                <w:lang w:eastAsia="en-GB"/>
              </w:rPr>
              <w:t xml:space="preserve"> and seaward</w:t>
            </w:r>
          </w:p>
        </w:tc>
        <w:tc>
          <w:tcPr>
            <w:tcW w:w="2531" w:type="dxa"/>
            <w:tcBorders>
              <w:top w:val="nil"/>
              <w:left w:val="nil"/>
              <w:bottom w:val="single" w:sz="4" w:space="0" w:color="auto"/>
              <w:right w:val="single" w:sz="4" w:space="0" w:color="auto"/>
            </w:tcBorders>
            <w:shd w:val="clear" w:color="auto" w:fill="auto"/>
            <w:noWrap/>
            <w:vAlign w:val="bottom"/>
            <w:hideMark/>
          </w:tcPr>
          <w:p w14:paraId="671A3B01"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Elgin Academy</w:t>
            </w:r>
          </w:p>
        </w:tc>
        <w:tc>
          <w:tcPr>
            <w:tcW w:w="1382"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74567040"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w:t>
            </w:r>
          </w:p>
        </w:tc>
        <w:tc>
          <w:tcPr>
            <w:tcW w:w="1190" w:type="dxa"/>
            <w:tcBorders>
              <w:top w:val="nil"/>
              <w:left w:val="nil"/>
              <w:bottom w:val="single" w:sz="4" w:space="0" w:color="auto"/>
              <w:right w:val="single" w:sz="4" w:space="0" w:color="auto"/>
            </w:tcBorders>
            <w:shd w:val="clear" w:color="auto" w:fill="auto"/>
            <w:noWrap/>
            <w:vAlign w:val="bottom"/>
            <w:hideMark/>
          </w:tcPr>
          <w:p w14:paraId="331D2DC1"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610</w:t>
            </w:r>
          </w:p>
        </w:tc>
        <w:tc>
          <w:tcPr>
            <w:tcW w:w="1167" w:type="dxa"/>
            <w:tcBorders>
              <w:top w:val="nil"/>
              <w:left w:val="nil"/>
              <w:bottom w:val="single" w:sz="4" w:space="0" w:color="auto"/>
              <w:right w:val="single" w:sz="4" w:space="0" w:color="auto"/>
            </w:tcBorders>
            <w:shd w:val="clear" w:color="auto" w:fill="auto"/>
            <w:noWrap/>
            <w:vAlign w:val="bottom"/>
            <w:hideMark/>
          </w:tcPr>
          <w:p w14:paraId="01710B2D"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6</w:t>
            </w:r>
          </w:p>
        </w:tc>
        <w:tc>
          <w:tcPr>
            <w:tcW w:w="1083" w:type="dxa"/>
            <w:tcBorders>
              <w:top w:val="nil"/>
              <w:left w:val="nil"/>
              <w:bottom w:val="single" w:sz="4" w:space="0" w:color="auto"/>
              <w:right w:val="single" w:sz="4" w:space="0" w:color="auto"/>
            </w:tcBorders>
            <w:shd w:val="clear" w:color="auto" w:fill="auto"/>
            <w:noWrap/>
            <w:vAlign w:val="bottom"/>
            <w:hideMark/>
          </w:tcPr>
          <w:p w14:paraId="68C66A74"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13</w:t>
            </w:r>
          </w:p>
        </w:tc>
        <w:tc>
          <w:tcPr>
            <w:tcW w:w="1029"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EEECB52"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w:t>
            </w:r>
          </w:p>
        </w:tc>
        <w:tc>
          <w:tcPr>
            <w:tcW w:w="1290" w:type="dxa"/>
            <w:tcBorders>
              <w:top w:val="nil"/>
              <w:left w:val="nil"/>
              <w:bottom w:val="single" w:sz="4" w:space="0" w:color="FFFFFF"/>
              <w:right w:val="single" w:sz="4" w:space="0" w:color="auto"/>
            </w:tcBorders>
            <w:shd w:val="clear" w:color="000000" w:fill="16365C"/>
            <w:noWrap/>
            <w:vAlign w:val="bottom"/>
            <w:hideMark/>
          </w:tcPr>
          <w:p w14:paraId="49FACC4D" w14:textId="77777777" w:rsidR="004B05C1" w:rsidRPr="004B05C1" w:rsidRDefault="004B05C1" w:rsidP="004B05C1">
            <w:pPr>
              <w:spacing w:before="0" w:after="0" w:line="240" w:lineRule="auto"/>
              <w:jc w:val="center"/>
              <w:rPr>
                <w:rFonts w:ascii="Calibri" w:eastAsia="Times New Roman" w:hAnsi="Calibri" w:cs="Calibri"/>
                <w:color w:val="FFFFFF"/>
                <w:sz w:val="22"/>
                <w:szCs w:val="22"/>
                <w:lang w:eastAsia="en-GB"/>
              </w:rPr>
            </w:pPr>
            <w:r w:rsidRPr="004B05C1">
              <w:rPr>
                <w:rFonts w:ascii="Calibri" w:eastAsia="Times New Roman" w:hAnsi="Calibri" w:cs="Calibri"/>
                <w:color w:val="FFFFFF"/>
                <w:sz w:val="22"/>
                <w:szCs w:val="22"/>
                <w:lang w:eastAsia="en-GB"/>
              </w:rPr>
              <w:t>24.3%</w:t>
            </w:r>
          </w:p>
        </w:tc>
        <w:tc>
          <w:tcPr>
            <w:tcW w:w="1569" w:type="dxa"/>
            <w:tcBorders>
              <w:top w:val="single" w:sz="4" w:space="0" w:color="auto"/>
              <w:left w:val="single" w:sz="4" w:space="0" w:color="auto"/>
              <w:bottom w:val="single" w:sz="4" w:space="0" w:color="auto"/>
              <w:right w:val="single" w:sz="4" w:space="0" w:color="auto"/>
            </w:tcBorders>
            <w:shd w:val="clear" w:color="000000" w:fill="FBBCBF"/>
            <w:noWrap/>
            <w:vAlign w:val="bottom"/>
            <w:hideMark/>
          </w:tcPr>
          <w:p w14:paraId="357C72B3"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148</w:t>
            </w:r>
          </w:p>
        </w:tc>
        <w:tc>
          <w:tcPr>
            <w:tcW w:w="130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24916DF"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4.5%</w:t>
            </w:r>
          </w:p>
        </w:tc>
        <w:tc>
          <w:tcPr>
            <w:tcW w:w="2372" w:type="dxa"/>
            <w:tcBorders>
              <w:top w:val="nil"/>
              <w:left w:val="nil"/>
              <w:bottom w:val="single" w:sz="4" w:space="0" w:color="auto"/>
              <w:right w:val="single" w:sz="8" w:space="0" w:color="auto"/>
            </w:tcBorders>
            <w:shd w:val="clear" w:color="auto" w:fill="auto"/>
            <w:noWrap/>
            <w:vAlign w:val="bottom"/>
            <w:hideMark/>
          </w:tcPr>
          <w:p w14:paraId="48FF1452"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27</w:t>
            </w:r>
          </w:p>
        </w:tc>
      </w:tr>
      <w:tr w:rsidR="004B05C1" w:rsidRPr="004B05C1" w14:paraId="7CBADF15" w14:textId="77777777" w:rsidTr="004B05C1">
        <w:trPr>
          <w:trHeight w:val="285"/>
        </w:trPr>
        <w:tc>
          <w:tcPr>
            <w:tcW w:w="929" w:type="dxa"/>
            <w:tcBorders>
              <w:top w:val="nil"/>
              <w:left w:val="single" w:sz="8" w:space="0" w:color="auto"/>
              <w:bottom w:val="single" w:sz="4" w:space="0" w:color="auto"/>
              <w:right w:val="single" w:sz="4" w:space="0" w:color="auto"/>
            </w:tcBorders>
            <w:shd w:val="clear" w:color="auto" w:fill="auto"/>
            <w:noWrap/>
            <w:vAlign w:val="bottom"/>
            <w:hideMark/>
          </w:tcPr>
          <w:p w14:paraId="3C7234F1"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12</w:t>
            </w:r>
          </w:p>
        </w:tc>
        <w:tc>
          <w:tcPr>
            <w:tcW w:w="5837" w:type="dxa"/>
            <w:tcBorders>
              <w:top w:val="nil"/>
              <w:left w:val="nil"/>
              <w:bottom w:val="single" w:sz="4" w:space="0" w:color="auto"/>
              <w:right w:val="single" w:sz="4" w:space="0" w:color="auto"/>
            </w:tcBorders>
            <w:shd w:val="clear" w:color="auto" w:fill="auto"/>
            <w:noWrap/>
            <w:vAlign w:val="bottom"/>
            <w:hideMark/>
          </w:tcPr>
          <w:p w14:paraId="0465C451"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proofErr w:type="spellStart"/>
            <w:r w:rsidRPr="004B05C1">
              <w:rPr>
                <w:rFonts w:ascii="Calibri" w:eastAsia="Times New Roman" w:hAnsi="Calibri" w:cs="Calibri"/>
                <w:color w:val="000000"/>
                <w:sz w:val="22"/>
                <w:szCs w:val="22"/>
                <w:lang w:eastAsia="en-GB"/>
              </w:rPr>
              <w:t>Mosstodloch</w:t>
            </w:r>
            <w:proofErr w:type="spellEnd"/>
            <w:r w:rsidRPr="004B05C1">
              <w:rPr>
                <w:rFonts w:ascii="Calibri" w:eastAsia="Times New Roman" w:hAnsi="Calibri" w:cs="Calibri"/>
                <w:color w:val="000000"/>
                <w:sz w:val="22"/>
                <w:szCs w:val="22"/>
                <w:lang w:eastAsia="en-GB"/>
              </w:rPr>
              <w:t xml:space="preserve">, </w:t>
            </w:r>
            <w:proofErr w:type="spellStart"/>
            <w:r w:rsidRPr="004B05C1">
              <w:rPr>
                <w:rFonts w:ascii="Calibri" w:eastAsia="Times New Roman" w:hAnsi="Calibri" w:cs="Calibri"/>
                <w:color w:val="000000"/>
                <w:sz w:val="22"/>
                <w:szCs w:val="22"/>
                <w:lang w:eastAsia="en-GB"/>
              </w:rPr>
              <w:t>Portgordon</w:t>
            </w:r>
            <w:proofErr w:type="spellEnd"/>
            <w:r w:rsidRPr="004B05C1">
              <w:rPr>
                <w:rFonts w:ascii="Calibri" w:eastAsia="Times New Roman" w:hAnsi="Calibri" w:cs="Calibri"/>
                <w:color w:val="000000"/>
                <w:sz w:val="22"/>
                <w:szCs w:val="22"/>
                <w:lang w:eastAsia="en-GB"/>
              </w:rPr>
              <w:t xml:space="preserve"> and seaward</w:t>
            </w:r>
          </w:p>
        </w:tc>
        <w:tc>
          <w:tcPr>
            <w:tcW w:w="2531" w:type="dxa"/>
            <w:tcBorders>
              <w:top w:val="nil"/>
              <w:left w:val="nil"/>
              <w:bottom w:val="single" w:sz="4" w:space="0" w:color="auto"/>
              <w:right w:val="single" w:sz="4" w:space="0" w:color="auto"/>
            </w:tcBorders>
            <w:shd w:val="clear" w:color="auto" w:fill="auto"/>
            <w:noWrap/>
            <w:vAlign w:val="bottom"/>
            <w:hideMark/>
          </w:tcPr>
          <w:p w14:paraId="4F2904D5"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Buckie High School</w:t>
            </w:r>
          </w:p>
        </w:tc>
        <w:tc>
          <w:tcPr>
            <w:tcW w:w="1382"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73AB3C10"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w:t>
            </w:r>
          </w:p>
        </w:tc>
        <w:tc>
          <w:tcPr>
            <w:tcW w:w="1190" w:type="dxa"/>
            <w:tcBorders>
              <w:top w:val="nil"/>
              <w:left w:val="nil"/>
              <w:bottom w:val="single" w:sz="4" w:space="0" w:color="auto"/>
              <w:right w:val="single" w:sz="4" w:space="0" w:color="auto"/>
            </w:tcBorders>
            <w:shd w:val="clear" w:color="auto" w:fill="auto"/>
            <w:noWrap/>
            <w:vAlign w:val="bottom"/>
            <w:hideMark/>
          </w:tcPr>
          <w:p w14:paraId="0B2C261B"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489</w:t>
            </w:r>
          </w:p>
        </w:tc>
        <w:tc>
          <w:tcPr>
            <w:tcW w:w="1167" w:type="dxa"/>
            <w:tcBorders>
              <w:top w:val="nil"/>
              <w:left w:val="nil"/>
              <w:bottom w:val="single" w:sz="4" w:space="0" w:color="auto"/>
              <w:right w:val="single" w:sz="4" w:space="0" w:color="auto"/>
            </w:tcBorders>
            <w:shd w:val="clear" w:color="auto" w:fill="auto"/>
            <w:noWrap/>
            <w:vAlign w:val="bottom"/>
            <w:hideMark/>
          </w:tcPr>
          <w:p w14:paraId="37BE89B0"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7</w:t>
            </w:r>
          </w:p>
        </w:tc>
        <w:tc>
          <w:tcPr>
            <w:tcW w:w="1083" w:type="dxa"/>
            <w:tcBorders>
              <w:top w:val="nil"/>
              <w:left w:val="nil"/>
              <w:bottom w:val="single" w:sz="4" w:space="0" w:color="auto"/>
              <w:right w:val="single" w:sz="4" w:space="0" w:color="auto"/>
            </w:tcBorders>
            <w:shd w:val="clear" w:color="auto" w:fill="auto"/>
            <w:noWrap/>
            <w:vAlign w:val="bottom"/>
            <w:hideMark/>
          </w:tcPr>
          <w:p w14:paraId="23B50167"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11</w:t>
            </w:r>
          </w:p>
        </w:tc>
        <w:tc>
          <w:tcPr>
            <w:tcW w:w="1029"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2038570"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w:t>
            </w:r>
          </w:p>
        </w:tc>
        <w:tc>
          <w:tcPr>
            <w:tcW w:w="1290" w:type="dxa"/>
            <w:tcBorders>
              <w:top w:val="nil"/>
              <w:left w:val="nil"/>
              <w:bottom w:val="single" w:sz="4" w:space="0" w:color="FFFFFF"/>
              <w:right w:val="single" w:sz="4" w:space="0" w:color="auto"/>
            </w:tcBorders>
            <w:shd w:val="clear" w:color="000000" w:fill="16365C"/>
            <w:noWrap/>
            <w:vAlign w:val="bottom"/>
            <w:hideMark/>
          </w:tcPr>
          <w:p w14:paraId="0C22FC4C" w14:textId="77777777" w:rsidR="004B05C1" w:rsidRPr="004B05C1" w:rsidRDefault="004B05C1" w:rsidP="004B05C1">
            <w:pPr>
              <w:spacing w:before="0" w:after="0" w:line="240" w:lineRule="auto"/>
              <w:jc w:val="center"/>
              <w:rPr>
                <w:rFonts w:ascii="Calibri" w:eastAsia="Times New Roman" w:hAnsi="Calibri" w:cs="Calibri"/>
                <w:color w:val="FFFFFF"/>
                <w:sz w:val="22"/>
                <w:szCs w:val="22"/>
                <w:lang w:eastAsia="en-GB"/>
              </w:rPr>
            </w:pPr>
            <w:r w:rsidRPr="004B05C1">
              <w:rPr>
                <w:rFonts w:ascii="Calibri" w:eastAsia="Times New Roman" w:hAnsi="Calibri" w:cs="Calibri"/>
                <w:color w:val="FFFFFF"/>
                <w:sz w:val="22"/>
                <w:szCs w:val="22"/>
                <w:lang w:eastAsia="en-GB"/>
              </w:rPr>
              <w:t>21.6%</w:t>
            </w:r>
          </w:p>
        </w:tc>
        <w:tc>
          <w:tcPr>
            <w:tcW w:w="1569" w:type="dxa"/>
            <w:tcBorders>
              <w:top w:val="single" w:sz="4" w:space="0" w:color="auto"/>
              <w:left w:val="single" w:sz="4" w:space="0" w:color="auto"/>
              <w:bottom w:val="single" w:sz="4" w:space="0" w:color="auto"/>
              <w:right w:val="single" w:sz="4" w:space="0" w:color="auto"/>
            </w:tcBorders>
            <w:shd w:val="clear" w:color="000000" w:fill="FBD3D5"/>
            <w:noWrap/>
            <w:vAlign w:val="bottom"/>
            <w:hideMark/>
          </w:tcPr>
          <w:p w14:paraId="3535A496"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106</w:t>
            </w:r>
          </w:p>
        </w:tc>
        <w:tc>
          <w:tcPr>
            <w:tcW w:w="130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5F7D213"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1.3%</w:t>
            </w:r>
          </w:p>
        </w:tc>
        <w:tc>
          <w:tcPr>
            <w:tcW w:w="2372" w:type="dxa"/>
            <w:tcBorders>
              <w:top w:val="nil"/>
              <w:left w:val="nil"/>
              <w:bottom w:val="single" w:sz="4" w:space="0" w:color="auto"/>
              <w:right w:val="single" w:sz="8" w:space="0" w:color="auto"/>
            </w:tcBorders>
            <w:shd w:val="clear" w:color="auto" w:fill="auto"/>
            <w:noWrap/>
            <w:vAlign w:val="bottom"/>
            <w:hideMark/>
          </w:tcPr>
          <w:p w14:paraId="6F431CF5"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6</w:t>
            </w:r>
          </w:p>
        </w:tc>
      </w:tr>
      <w:tr w:rsidR="004B05C1" w:rsidRPr="004B05C1" w14:paraId="7518E884" w14:textId="77777777" w:rsidTr="004B05C1">
        <w:trPr>
          <w:trHeight w:val="285"/>
        </w:trPr>
        <w:tc>
          <w:tcPr>
            <w:tcW w:w="929" w:type="dxa"/>
            <w:tcBorders>
              <w:top w:val="nil"/>
              <w:left w:val="single" w:sz="8" w:space="0" w:color="auto"/>
              <w:bottom w:val="single" w:sz="4" w:space="0" w:color="auto"/>
              <w:right w:val="single" w:sz="4" w:space="0" w:color="auto"/>
            </w:tcBorders>
            <w:shd w:val="clear" w:color="auto" w:fill="auto"/>
            <w:noWrap/>
            <w:vAlign w:val="bottom"/>
            <w:hideMark/>
          </w:tcPr>
          <w:p w14:paraId="280D210A"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13</w:t>
            </w:r>
          </w:p>
        </w:tc>
        <w:tc>
          <w:tcPr>
            <w:tcW w:w="5837" w:type="dxa"/>
            <w:tcBorders>
              <w:top w:val="nil"/>
              <w:left w:val="nil"/>
              <w:bottom w:val="single" w:sz="4" w:space="0" w:color="auto"/>
              <w:right w:val="single" w:sz="4" w:space="0" w:color="auto"/>
            </w:tcBorders>
            <w:shd w:val="clear" w:color="auto" w:fill="auto"/>
            <w:noWrap/>
            <w:vAlign w:val="bottom"/>
            <w:hideMark/>
          </w:tcPr>
          <w:p w14:paraId="1AB95294"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New Elgin West</w:t>
            </w:r>
          </w:p>
        </w:tc>
        <w:tc>
          <w:tcPr>
            <w:tcW w:w="2531" w:type="dxa"/>
            <w:tcBorders>
              <w:top w:val="nil"/>
              <w:left w:val="nil"/>
              <w:bottom w:val="single" w:sz="4" w:space="0" w:color="auto"/>
              <w:right w:val="single" w:sz="4" w:space="0" w:color="auto"/>
            </w:tcBorders>
            <w:shd w:val="clear" w:color="auto" w:fill="auto"/>
            <w:noWrap/>
            <w:vAlign w:val="bottom"/>
            <w:hideMark/>
          </w:tcPr>
          <w:p w14:paraId="52A1B85A"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Elgin High School</w:t>
            </w:r>
          </w:p>
        </w:tc>
        <w:tc>
          <w:tcPr>
            <w:tcW w:w="1382" w:type="dxa"/>
            <w:tcBorders>
              <w:top w:val="nil"/>
              <w:left w:val="nil"/>
              <w:bottom w:val="single" w:sz="4" w:space="0" w:color="auto"/>
              <w:right w:val="single" w:sz="4" w:space="0" w:color="auto"/>
            </w:tcBorders>
            <w:shd w:val="clear" w:color="auto" w:fill="auto"/>
            <w:noWrap/>
            <w:vAlign w:val="bottom"/>
            <w:hideMark/>
          </w:tcPr>
          <w:p w14:paraId="212A4491"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w:t>
            </w:r>
          </w:p>
        </w:tc>
        <w:tc>
          <w:tcPr>
            <w:tcW w:w="1190" w:type="dxa"/>
            <w:tcBorders>
              <w:top w:val="nil"/>
              <w:left w:val="nil"/>
              <w:bottom w:val="single" w:sz="4" w:space="0" w:color="auto"/>
              <w:right w:val="single" w:sz="4" w:space="0" w:color="auto"/>
            </w:tcBorders>
            <w:shd w:val="clear" w:color="auto" w:fill="auto"/>
            <w:noWrap/>
            <w:vAlign w:val="bottom"/>
            <w:hideMark/>
          </w:tcPr>
          <w:p w14:paraId="6D95296B"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694</w:t>
            </w:r>
          </w:p>
        </w:tc>
        <w:tc>
          <w:tcPr>
            <w:tcW w:w="1167" w:type="dxa"/>
            <w:tcBorders>
              <w:top w:val="nil"/>
              <w:left w:val="nil"/>
              <w:bottom w:val="single" w:sz="4" w:space="0" w:color="auto"/>
              <w:right w:val="single" w:sz="4" w:space="0" w:color="auto"/>
            </w:tcBorders>
            <w:shd w:val="clear" w:color="auto" w:fill="auto"/>
            <w:noWrap/>
            <w:vAlign w:val="bottom"/>
            <w:hideMark/>
          </w:tcPr>
          <w:p w14:paraId="0E62D74C"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7</w:t>
            </w:r>
          </w:p>
        </w:tc>
        <w:tc>
          <w:tcPr>
            <w:tcW w:w="1083" w:type="dxa"/>
            <w:tcBorders>
              <w:top w:val="nil"/>
              <w:left w:val="nil"/>
              <w:bottom w:val="single" w:sz="4" w:space="0" w:color="auto"/>
              <w:right w:val="single" w:sz="4" w:space="0" w:color="auto"/>
            </w:tcBorders>
            <w:shd w:val="clear" w:color="auto" w:fill="auto"/>
            <w:noWrap/>
            <w:vAlign w:val="bottom"/>
            <w:hideMark/>
          </w:tcPr>
          <w:p w14:paraId="00EA47F8"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15</w:t>
            </w:r>
          </w:p>
        </w:tc>
        <w:tc>
          <w:tcPr>
            <w:tcW w:w="1029"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6D7A1E7"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w:t>
            </w:r>
          </w:p>
        </w:tc>
        <w:tc>
          <w:tcPr>
            <w:tcW w:w="1290" w:type="dxa"/>
            <w:tcBorders>
              <w:top w:val="nil"/>
              <w:left w:val="nil"/>
              <w:bottom w:val="single" w:sz="4" w:space="0" w:color="FFFFFF"/>
              <w:right w:val="single" w:sz="4" w:space="0" w:color="auto"/>
            </w:tcBorders>
            <w:shd w:val="clear" w:color="000000" w:fill="16365C"/>
            <w:noWrap/>
            <w:vAlign w:val="bottom"/>
            <w:hideMark/>
          </w:tcPr>
          <w:p w14:paraId="096AE63A" w14:textId="77777777" w:rsidR="004B05C1" w:rsidRPr="004B05C1" w:rsidRDefault="004B05C1" w:rsidP="004B05C1">
            <w:pPr>
              <w:spacing w:before="0" w:after="0" w:line="240" w:lineRule="auto"/>
              <w:jc w:val="center"/>
              <w:rPr>
                <w:rFonts w:ascii="Calibri" w:eastAsia="Times New Roman" w:hAnsi="Calibri" w:cs="Calibri"/>
                <w:color w:val="FFFFFF"/>
                <w:sz w:val="22"/>
                <w:szCs w:val="22"/>
                <w:lang w:eastAsia="en-GB"/>
              </w:rPr>
            </w:pPr>
            <w:r w:rsidRPr="004B05C1">
              <w:rPr>
                <w:rFonts w:ascii="Calibri" w:eastAsia="Times New Roman" w:hAnsi="Calibri" w:cs="Calibri"/>
                <w:color w:val="FFFFFF"/>
                <w:sz w:val="22"/>
                <w:szCs w:val="22"/>
                <w:lang w:eastAsia="en-GB"/>
              </w:rPr>
              <w:t>19.3%</w:t>
            </w:r>
          </w:p>
        </w:tc>
        <w:tc>
          <w:tcPr>
            <w:tcW w:w="1569" w:type="dxa"/>
            <w:tcBorders>
              <w:top w:val="single" w:sz="4" w:space="0" w:color="auto"/>
              <w:left w:val="single" w:sz="4" w:space="0" w:color="auto"/>
              <w:bottom w:val="single" w:sz="4" w:space="0" w:color="auto"/>
              <w:right w:val="single" w:sz="4" w:space="0" w:color="auto"/>
            </w:tcBorders>
            <w:shd w:val="clear" w:color="000000" w:fill="FBC4C6"/>
            <w:noWrap/>
            <w:vAlign w:val="bottom"/>
            <w:hideMark/>
          </w:tcPr>
          <w:p w14:paraId="650EECB3"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134</w:t>
            </w:r>
          </w:p>
        </w:tc>
        <w:tc>
          <w:tcPr>
            <w:tcW w:w="130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89B809F"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1.5%</w:t>
            </w:r>
          </w:p>
        </w:tc>
        <w:tc>
          <w:tcPr>
            <w:tcW w:w="2372" w:type="dxa"/>
            <w:tcBorders>
              <w:top w:val="nil"/>
              <w:left w:val="nil"/>
              <w:bottom w:val="single" w:sz="4" w:space="0" w:color="auto"/>
              <w:right w:val="single" w:sz="8" w:space="0" w:color="auto"/>
            </w:tcBorders>
            <w:shd w:val="clear" w:color="auto" w:fill="auto"/>
            <w:noWrap/>
            <w:vAlign w:val="bottom"/>
            <w:hideMark/>
          </w:tcPr>
          <w:p w14:paraId="50A21553"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10</w:t>
            </w:r>
          </w:p>
        </w:tc>
      </w:tr>
      <w:tr w:rsidR="004B05C1" w:rsidRPr="004B05C1" w14:paraId="1D66FB38" w14:textId="77777777" w:rsidTr="004B05C1">
        <w:trPr>
          <w:trHeight w:val="285"/>
        </w:trPr>
        <w:tc>
          <w:tcPr>
            <w:tcW w:w="929" w:type="dxa"/>
            <w:tcBorders>
              <w:top w:val="nil"/>
              <w:left w:val="single" w:sz="8" w:space="0" w:color="auto"/>
              <w:bottom w:val="single" w:sz="4" w:space="0" w:color="auto"/>
              <w:right w:val="single" w:sz="4" w:space="0" w:color="auto"/>
            </w:tcBorders>
            <w:shd w:val="clear" w:color="auto" w:fill="auto"/>
            <w:noWrap/>
            <w:vAlign w:val="bottom"/>
            <w:hideMark/>
          </w:tcPr>
          <w:p w14:paraId="579D0836"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14</w:t>
            </w:r>
          </w:p>
        </w:tc>
        <w:tc>
          <w:tcPr>
            <w:tcW w:w="5837" w:type="dxa"/>
            <w:tcBorders>
              <w:top w:val="nil"/>
              <w:left w:val="nil"/>
              <w:bottom w:val="single" w:sz="4" w:space="0" w:color="auto"/>
              <w:right w:val="single" w:sz="4" w:space="0" w:color="auto"/>
            </w:tcBorders>
            <w:shd w:val="clear" w:color="auto" w:fill="auto"/>
            <w:noWrap/>
            <w:vAlign w:val="bottom"/>
            <w:hideMark/>
          </w:tcPr>
          <w:p w14:paraId="3E50EDFD"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North Speyside</w:t>
            </w:r>
          </w:p>
        </w:tc>
        <w:tc>
          <w:tcPr>
            <w:tcW w:w="2531" w:type="dxa"/>
            <w:tcBorders>
              <w:top w:val="nil"/>
              <w:left w:val="nil"/>
              <w:bottom w:val="single" w:sz="4" w:space="0" w:color="auto"/>
              <w:right w:val="single" w:sz="4" w:space="0" w:color="auto"/>
            </w:tcBorders>
            <w:shd w:val="clear" w:color="auto" w:fill="auto"/>
            <w:noWrap/>
            <w:vAlign w:val="bottom"/>
            <w:hideMark/>
          </w:tcPr>
          <w:p w14:paraId="41C6CBBE"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Speyside High School</w:t>
            </w:r>
          </w:p>
        </w:tc>
        <w:tc>
          <w:tcPr>
            <w:tcW w:w="1382"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028300C8"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w:t>
            </w:r>
          </w:p>
        </w:tc>
        <w:tc>
          <w:tcPr>
            <w:tcW w:w="1190" w:type="dxa"/>
            <w:tcBorders>
              <w:top w:val="nil"/>
              <w:left w:val="nil"/>
              <w:bottom w:val="single" w:sz="4" w:space="0" w:color="auto"/>
              <w:right w:val="single" w:sz="4" w:space="0" w:color="auto"/>
            </w:tcBorders>
            <w:shd w:val="clear" w:color="auto" w:fill="auto"/>
            <w:noWrap/>
            <w:vAlign w:val="bottom"/>
            <w:hideMark/>
          </w:tcPr>
          <w:p w14:paraId="76C1BA71"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533</w:t>
            </w:r>
          </w:p>
        </w:tc>
        <w:tc>
          <w:tcPr>
            <w:tcW w:w="1167" w:type="dxa"/>
            <w:tcBorders>
              <w:top w:val="nil"/>
              <w:left w:val="nil"/>
              <w:bottom w:val="single" w:sz="4" w:space="0" w:color="auto"/>
              <w:right w:val="single" w:sz="4" w:space="0" w:color="auto"/>
            </w:tcBorders>
            <w:shd w:val="clear" w:color="auto" w:fill="auto"/>
            <w:noWrap/>
            <w:vAlign w:val="bottom"/>
            <w:hideMark/>
          </w:tcPr>
          <w:p w14:paraId="011A6D54"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7</w:t>
            </w:r>
          </w:p>
        </w:tc>
        <w:tc>
          <w:tcPr>
            <w:tcW w:w="1083" w:type="dxa"/>
            <w:tcBorders>
              <w:top w:val="nil"/>
              <w:left w:val="nil"/>
              <w:bottom w:val="single" w:sz="4" w:space="0" w:color="auto"/>
              <w:right w:val="single" w:sz="4" w:space="0" w:color="auto"/>
            </w:tcBorders>
            <w:shd w:val="clear" w:color="auto" w:fill="auto"/>
            <w:noWrap/>
            <w:vAlign w:val="bottom"/>
            <w:hideMark/>
          </w:tcPr>
          <w:p w14:paraId="6DE0E5B0"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16</w:t>
            </w:r>
          </w:p>
        </w:tc>
        <w:tc>
          <w:tcPr>
            <w:tcW w:w="1029"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7D8774A"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w:t>
            </w:r>
          </w:p>
        </w:tc>
        <w:tc>
          <w:tcPr>
            <w:tcW w:w="1290" w:type="dxa"/>
            <w:tcBorders>
              <w:top w:val="nil"/>
              <w:left w:val="nil"/>
              <w:bottom w:val="single" w:sz="4" w:space="0" w:color="FFFFFF"/>
              <w:right w:val="single" w:sz="4" w:space="0" w:color="auto"/>
            </w:tcBorders>
            <w:shd w:val="clear" w:color="000000" w:fill="16365C"/>
            <w:noWrap/>
            <w:vAlign w:val="bottom"/>
            <w:hideMark/>
          </w:tcPr>
          <w:p w14:paraId="76653BE7" w14:textId="77777777" w:rsidR="004B05C1" w:rsidRPr="004B05C1" w:rsidRDefault="004B05C1" w:rsidP="004B05C1">
            <w:pPr>
              <w:spacing w:before="0" w:after="0" w:line="240" w:lineRule="auto"/>
              <w:jc w:val="center"/>
              <w:rPr>
                <w:rFonts w:ascii="Calibri" w:eastAsia="Times New Roman" w:hAnsi="Calibri" w:cs="Calibri"/>
                <w:color w:val="FFFFFF"/>
                <w:sz w:val="22"/>
                <w:szCs w:val="22"/>
                <w:lang w:eastAsia="en-GB"/>
              </w:rPr>
            </w:pPr>
            <w:r w:rsidRPr="004B05C1">
              <w:rPr>
                <w:rFonts w:ascii="Calibri" w:eastAsia="Times New Roman" w:hAnsi="Calibri" w:cs="Calibri"/>
                <w:color w:val="FFFFFF"/>
                <w:sz w:val="22"/>
                <w:szCs w:val="22"/>
                <w:lang w:eastAsia="en-GB"/>
              </w:rPr>
              <w:t>19.8%</w:t>
            </w:r>
          </w:p>
        </w:tc>
        <w:tc>
          <w:tcPr>
            <w:tcW w:w="1569" w:type="dxa"/>
            <w:tcBorders>
              <w:top w:val="single" w:sz="4" w:space="0" w:color="auto"/>
              <w:left w:val="single" w:sz="4" w:space="0" w:color="auto"/>
              <w:bottom w:val="single" w:sz="4" w:space="0" w:color="auto"/>
              <w:right w:val="single" w:sz="4" w:space="0" w:color="auto"/>
            </w:tcBorders>
            <w:shd w:val="clear" w:color="000000" w:fill="FBD3D5"/>
            <w:noWrap/>
            <w:vAlign w:val="bottom"/>
            <w:hideMark/>
          </w:tcPr>
          <w:p w14:paraId="24B80DF2"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106</w:t>
            </w:r>
          </w:p>
        </w:tc>
        <w:tc>
          <w:tcPr>
            <w:tcW w:w="130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3FBCEA9"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0.5%</w:t>
            </w:r>
          </w:p>
        </w:tc>
        <w:tc>
          <w:tcPr>
            <w:tcW w:w="2372" w:type="dxa"/>
            <w:tcBorders>
              <w:top w:val="nil"/>
              <w:left w:val="nil"/>
              <w:bottom w:val="single" w:sz="4" w:space="0" w:color="auto"/>
              <w:right w:val="single" w:sz="8" w:space="0" w:color="auto"/>
            </w:tcBorders>
            <w:shd w:val="clear" w:color="auto" w:fill="auto"/>
            <w:noWrap/>
            <w:vAlign w:val="bottom"/>
            <w:hideMark/>
          </w:tcPr>
          <w:p w14:paraId="2E3409C1"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3</w:t>
            </w:r>
          </w:p>
        </w:tc>
      </w:tr>
      <w:tr w:rsidR="004B05C1" w:rsidRPr="004B05C1" w14:paraId="63B4722E" w14:textId="77777777" w:rsidTr="004B05C1">
        <w:trPr>
          <w:trHeight w:val="285"/>
        </w:trPr>
        <w:tc>
          <w:tcPr>
            <w:tcW w:w="929" w:type="dxa"/>
            <w:tcBorders>
              <w:top w:val="nil"/>
              <w:left w:val="single" w:sz="8" w:space="0" w:color="auto"/>
              <w:bottom w:val="single" w:sz="4" w:space="0" w:color="auto"/>
              <w:right w:val="single" w:sz="4" w:space="0" w:color="auto"/>
            </w:tcBorders>
            <w:shd w:val="clear" w:color="auto" w:fill="auto"/>
            <w:noWrap/>
            <w:vAlign w:val="bottom"/>
            <w:hideMark/>
          </w:tcPr>
          <w:p w14:paraId="12C05F79"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15</w:t>
            </w:r>
          </w:p>
        </w:tc>
        <w:tc>
          <w:tcPr>
            <w:tcW w:w="5837" w:type="dxa"/>
            <w:tcBorders>
              <w:top w:val="nil"/>
              <w:left w:val="nil"/>
              <w:bottom w:val="single" w:sz="4" w:space="0" w:color="auto"/>
              <w:right w:val="single" w:sz="4" w:space="0" w:color="auto"/>
            </w:tcBorders>
            <w:shd w:val="clear" w:color="auto" w:fill="auto"/>
            <w:noWrap/>
            <w:vAlign w:val="bottom"/>
            <w:hideMark/>
          </w:tcPr>
          <w:p w14:paraId="791B6D69"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 xml:space="preserve">Lossiemouth East and </w:t>
            </w:r>
            <w:proofErr w:type="spellStart"/>
            <w:r w:rsidRPr="004B05C1">
              <w:rPr>
                <w:rFonts w:ascii="Calibri" w:eastAsia="Times New Roman" w:hAnsi="Calibri" w:cs="Calibri"/>
                <w:color w:val="000000"/>
                <w:sz w:val="22"/>
                <w:szCs w:val="22"/>
                <w:lang w:eastAsia="en-GB"/>
              </w:rPr>
              <w:t>Seatown</w:t>
            </w:r>
            <w:proofErr w:type="spellEnd"/>
          </w:p>
        </w:tc>
        <w:tc>
          <w:tcPr>
            <w:tcW w:w="2531" w:type="dxa"/>
            <w:tcBorders>
              <w:top w:val="nil"/>
              <w:left w:val="nil"/>
              <w:bottom w:val="single" w:sz="4" w:space="0" w:color="auto"/>
              <w:right w:val="single" w:sz="4" w:space="0" w:color="auto"/>
            </w:tcBorders>
            <w:shd w:val="clear" w:color="auto" w:fill="auto"/>
            <w:noWrap/>
            <w:vAlign w:val="bottom"/>
            <w:hideMark/>
          </w:tcPr>
          <w:p w14:paraId="2C4147C9"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Lossiemouth High School</w:t>
            </w:r>
          </w:p>
        </w:tc>
        <w:tc>
          <w:tcPr>
            <w:tcW w:w="1382" w:type="dxa"/>
            <w:tcBorders>
              <w:top w:val="nil"/>
              <w:left w:val="nil"/>
              <w:bottom w:val="single" w:sz="4" w:space="0" w:color="auto"/>
              <w:right w:val="single" w:sz="4" w:space="0" w:color="auto"/>
            </w:tcBorders>
            <w:shd w:val="clear" w:color="auto" w:fill="auto"/>
            <w:noWrap/>
            <w:vAlign w:val="bottom"/>
            <w:hideMark/>
          </w:tcPr>
          <w:p w14:paraId="5F6BC08F"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w:t>
            </w:r>
          </w:p>
        </w:tc>
        <w:tc>
          <w:tcPr>
            <w:tcW w:w="1190" w:type="dxa"/>
            <w:tcBorders>
              <w:top w:val="nil"/>
              <w:left w:val="nil"/>
              <w:bottom w:val="single" w:sz="4" w:space="0" w:color="auto"/>
              <w:right w:val="single" w:sz="4" w:space="0" w:color="auto"/>
            </w:tcBorders>
            <w:shd w:val="clear" w:color="auto" w:fill="auto"/>
            <w:noWrap/>
            <w:vAlign w:val="bottom"/>
            <w:hideMark/>
          </w:tcPr>
          <w:p w14:paraId="43C72649"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454</w:t>
            </w:r>
          </w:p>
        </w:tc>
        <w:tc>
          <w:tcPr>
            <w:tcW w:w="1167" w:type="dxa"/>
            <w:tcBorders>
              <w:top w:val="nil"/>
              <w:left w:val="nil"/>
              <w:bottom w:val="single" w:sz="4" w:space="0" w:color="auto"/>
              <w:right w:val="single" w:sz="4" w:space="0" w:color="auto"/>
            </w:tcBorders>
            <w:shd w:val="clear" w:color="auto" w:fill="auto"/>
            <w:noWrap/>
            <w:vAlign w:val="bottom"/>
            <w:hideMark/>
          </w:tcPr>
          <w:p w14:paraId="4A148D6B"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7</w:t>
            </w:r>
          </w:p>
        </w:tc>
        <w:tc>
          <w:tcPr>
            <w:tcW w:w="1083" w:type="dxa"/>
            <w:tcBorders>
              <w:top w:val="nil"/>
              <w:left w:val="nil"/>
              <w:bottom w:val="single" w:sz="4" w:space="0" w:color="auto"/>
              <w:right w:val="single" w:sz="4" w:space="0" w:color="auto"/>
            </w:tcBorders>
            <w:shd w:val="clear" w:color="auto" w:fill="auto"/>
            <w:noWrap/>
            <w:vAlign w:val="bottom"/>
            <w:hideMark/>
          </w:tcPr>
          <w:p w14:paraId="118225FA"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17</w:t>
            </w:r>
          </w:p>
        </w:tc>
        <w:tc>
          <w:tcPr>
            <w:tcW w:w="1029"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8F7B512"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w:t>
            </w:r>
          </w:p>
        </w:tc>
        <w:tc>
          <w:tcPr>
            <w:tcW w:w="1290" w:type="dxa"/>
            <w:tcBorders>
              <w:top w:val="nil"/>
              <w:left w:val="nil"/>
              <w:bottom w:val="single" w:sz="4" w:space="0" w:color="FFFFFF"/>
              <w:right w:val="single" w:sz="4" w:space="0" w:color="auto"/>
            </w:tcBorders>
            <w:shd w:val="clear" w:color="000000" w:fill="16365C"/>
            <w:noWrap/>
            <w:vAlign w:val="bottom"/>
            <w:hideMark/>
          </w:tcPr>
          <w:p w14:paraId="61EA57CB" w14:textId="77777777" w:rsidR="004B05C1" w:rsidRPr="004B05C1" w:rsidRDefault="004B05C1" w:rsidP="004B05C1">
            <w:pPr>
              <w:spacing w:before="0" w:after="0" w:line="240" w:lineRule="auto"/>
              <w:jc w:val="center"/>
              <w:rPr>
                <w:rFonts w:ascii="Calibri" w:eastAsia="Times New Roman" w:hAnsi="Calibri" w:cs="Calibri"/>
                <w:color w:val="FFFFFF"/>
                <w:sz w:val="22"/>
                <w:szCs w:val="22"/>
                <w:lang w:eastAsia="en-GB"/>
              </w:rPr>
            </w:pPr>
            <w:r w:rsidRPr="004B05C1">
              <w:rPr>
                <w:rFonts w:ascii="Calibri" w:eastAsia="Times New Roman" w:hAnsi="Calibri" w:cs="Calibri"/>
                <w:color w:val="FFFFFF"/>
                <w:sz w:val="22"/>
                <w:szCs w:val="22"/>
                <w:lang w:eastAsia="en-GB"/>
              </w:rPr>
              <w:t>22.3%</w:t>
            </w:r>
          </w:p>
        </w:tc>
        <w:tc>
          <w:tcPr>
            <w:tcW w:w="1569" w:type="dxa"/>
            <w:tcBorders>
              <w:top w:val="single" w:sz="4" w:space="0" w:color="auto"/>
              <w:left w:val="single" w:sz="4" w:space="0" w:color="auto"/>
              <w:bottom w:val="single" w:sz="4" w:space="0" w:color="auto"/>
              <w:right w:val="single" w:sz="4" w:space="0" w:color="auto"/>
            </w:tcBorders>
            <w:shd w:val="clear" w:color="000000" w:fill="FBD5D8"/>
            <w:noWrap/>
            <w:vAlign w:val="bottom"/>
            <w:hideMark/>
          </w:tcPr>
          <w:p w14:paraId="7636E1EE"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101</w:t>
            </w:r>
          </w:p>
        </w:tc>
        <w:tc>
          <w:tcPr>
            <w:tcW w:w="130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28669D6"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13.6%</w:t>
            </w:r>
          </w:p>
        </w:tc>
        <w:tc>
          <w:tcPr>
            <w:tcW w:w="2372" w:type="dxa"/>
            <w:tcBorders>
              <w:top w:val="nil"/>
              <w:left w:val="nil"/>
              <w:bottom w:val="single" w:sz="4" w:space="0" w:color="auto"/>
              <w:right w:val="single" w:sz="8" w:space="0" w:color="auto"/>
            </w:tcBorders>
            <w:shd w:val="clear" w:color="auto" w:fill="auto"/>
            <w:noWrap/>
            <w:vAlign w:val="bottom"/>
            <w:hideMark/>
          </w:tcPr>
          <w:p w14:paraId="699712AD"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62</w:t>
            </w:r>
          </w:p>
        </w:tc>
      </w:tr>
      <w:tr w:rsidR="004B05C1" w:rsidRPr="004B05C1" w14:paraId="4740D285" w14:textId="77777777" w:rsidTr="004B05C1">
        <w:trPr>
          <w:trHeight w:val="285"/>
        </w:trPr>
        <w:tc>
          <w:tcPr>
            <w:tcW w:w="929" w:type="dxa"/>
            <w:tcBorders>
              <w:top w:val="nil"/>
              <w:left w:val="single" w:sz="8" w:space="0" w:color="auto"/>
              <w:bottom w:val="single" w:sz="4" w:space="0" w:color="auto"/>
              <w:right w:val="single" w:sz="4" w:space="0" w:color="auto"/>
            </w:tcBorders>
            <w:shd w:val="clear" w:color="auto" w:fill="auto"/>
            <w:noWrap/>
            <w:vAlign w:val="bottom"/>
            <w:hideMark/>
          </w:tcPr>
          <w:p w14:paraId="1C8D27CE"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16</w:t>
            </w:r>
          </w:p>
        </w:tc>
        <w:tc>
          <w:tcPr>
            <w:tcW w:w="5837" w:type="dxa"/>
            <w:tcBorders>
              <w:top w:val="nil"/>
              <w:left w:val="nil"/>
              <w:bottom w:val="single" w:sz="4" w:space="0" w:color="auto"/>
              <w:right w:val="single" w:sz="4" w:space="0" w:color="auto"/>
            </w:tcBorders>
            <w:shd w:val="clear" w:color="auto" w:fill="auto"/>
            <w:noWrap/>
            <w:vAlign w:val="bottom"/>
            <w:hideMark/>
          </w:tcPr>
          <w:p w14:paraId="6E3CBC2F"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Forres Central East and seaward</w:t>
            </w:r>
          </w:p>
        </w:tc>
        <w:tc>
          <w:tcPr>
            <w:tcW w:w="2531" w:type="dxa"/>
            <w:tcBorders>
              <w:top w:val="nil"/>
              <w:left w:val="nil"/>
              <w:bottom w:val="single" w:sz="4" w:space="0" w:color="auto"/>
              <w:right w:val="single" w:sz="4" w:space="0" w:color="auto"/>
            </w:tcBorders>
            <w:shd w:val="clear" w:color="auto" w:fill="auto"/>
            <w:noWrap/>
            <w:vAlign w:val="bottom"/>
            <w:hideMark/>
          </w:tcPr>
          <w:p w14:paraId="2B0C59AD"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Forres Academy</w:t>
            </w:r>
          </w:p>
        </w:tc>
        <w:tc>
          <w:tcPr>
            <w:tcW w:w="1382" w:type="dxa"/>
            <w:tcBorders>
              <w:top w:val="nil"/>
              <w:left w:val="nil"/>
              <w:bottom w:val="single" w:sz="4" w:space="0" w:color="auto"/>
              <w:right w:val="single" w:sz="4" w:space="0" w:color="auto"/>
            </w:tcBorders>
            <w:shd w:val="clear" w:color="auto" w:fill="auto"/>
            <w:noWrap/>
            <w:vAlign w:val="bottom"/>
            <w:hideMark/>
          </w:tcPr>
          <w:p w14:paraId="13D90C68"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w:t>
            </w:r>
          </w:p>
        </w:tc>
        <w:tc>
          <w:tcPr>
            <w:tcW w:w="1190" w:type="dxa"/>
            <w:tcBorders>
              <w:top w:val="nil"/>
              <w:left w:val="nil"/>
              <w:bottom w:val="single" w:sz="4" w:space="0" w:color="auto"/>
              <w:right w:val="single" w:sz="4" w:space="0" w:color="auto"/>
            </w:tcBorders>
            <w:shd w:val="clear" w:color="auto" w:fill="auto"/>
            <w:noWrap/>
            <w:vAlign w:val="bottom"/>
            <w:hideMark/>
          </w:tcPr>
          <w:p w14:paraId="08BD9AFF"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396</w:t>
            </w:r>
          </w:p>
        </w:tc>
        <w:tc>
          <w:tcPr>
            <w:tcW w:w="1167" w:type="dxa"/>
            <w:tcBorders>
              <w:top w:val="nil"/>
              <w:left w:val="nil"/>
              <w:bottom w:val="single" w:sz="4" w:space="0" w:color="auto"/>
              <w:right w:val="single" w:sz="4" w:space="0" w:color="auto"/>
            </w:tcBorders>
            <w:shd w:val="clear" w:color="auto" w:fill="auto"/>
            <w:noWrap/>
            <w:vAlign w:val="bottom"/>
            <w:hideMark/>
          </w:tcPr>
          <w:p w14:paraId="6CEFD85D"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7</w:t>
            </w:r>
          </w:p>
        </w:tc>
        <w:tc>
          <w:tcPr>
            <w:tcW w:w="1083" w:type="dxa"/>
            <w:tcBorders>
              <w:top w:val="nil"/>
              <w:left w:val="nil"/>
              <w:bottom w:val="single" w:sz="4" w:space="0" w:color="auto"/>
              <w:right w:val="single" w:sz="4" w:space="0" w:color="auto"/>
            </w:tcBorders>
            <w:shd w:val="clear" w:color="auto" w:fill="auto"/>
            <w:noWrap/>
            <w:vAlign w:val="bottom"/>
            <w:hideMark/>
          </w:tcPr>
          <w:p w14:paraId="484C5CAC"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14</w:t>
            </w:r>
          </w:p>
        </w:tc>
        <w:tc>
          <w:tcPr>
            <w:tcW w:w="1029"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48C1A1C"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w:t>
            </w:r>
          </w:p>
        </w:tc>
        <w:tc>
          <w:tcPr>
            <w:tcW w:w="1290" w:type="dxa"/>
            <w:tcBorders>
              <w:top w:val="nil"/>
              <w:left w:val="nil"/>
              <w:bottom w:val="single" w:sz="4" w:space="0" w:color="FFFFFF"/>
              <w:right w:val="single" w:sz="4" w:space="0" w:color="auto"/>
            </w:tcBorders>
            <w:shd w:val="clear" w:color="000000" w:fill="16365C"/>
            <w:noWrap/>
            <w:vAlign w:val="bottom"/>
            <w:hideMark/>
          </w:tcPr>
          <w:p w14:paraId="7DD28606" w14:textId="77777777" w:rsidR="004B05C1" w:rsidRPr="004B05C1" w:rsidRDefault="004B05C1" w:rsidP="004B05C1">
            <w:pPr>
              <w:spacing w:before="0" w:after="0" w:line="240" w:lineRule="auto"/>
              <w:jc w:val="center"/>
              <w:rPr>
                <w:rFonts w:ascii="Calibri" w:eastAsia="Times New Roman" w:hAnsi="Calibri" w:cs="Calibri"/>
                <w:color w:val="FFFFFF"/>
                <w:sz w:val="22"/>
                <w:szCs w:val="22"/>
                <w:lang w:eastAsia="en-GB"/>
              </w:rPr>
            </w:pPr>
            <w:r w:rsidRPr="004B05C1">
              <w:rPr>
                <w:rFonts w:ascii="Calibri" w:eastAsia="Times New Roman" w:hAnsi="Calibri" w:cs="Calibri"/>
                <w:color w:val="FFFFFF"/>
                <w:sz w:val="22"/>
                <w:szCs w:val="22"/>
                <w:lang w:eastAsia="en-GB"/>
              </w:rPr>
              <w:t>19.3%</w:t>
            </w:r>
          </w:p>
        </w:tc>
        <w:tc>
          <w:tcPr>
            <w:tcW w:w="1569" w:type="dxa"/>
            <w:tcBorders>
              <w:top w:val="single" w:sz="4" w:space="0" w:color="auto"/>
              <w:left w:val="single" w:sz="4" w:space="0" w:color="auto"/>
              <w:bottom w:val="single" w:sz="4" w:space="0" w:color="auto"/>
              <w:right w:val="single" w:sz="4" w:space="0" w:color="auto"/>
            </w:tcBorders>
            <w:shd w:val="clear" w:color="000000" w:fill="FCE2E5"/>
            <w:noWrap/>
            <w:vAlign w:val="bottom"/>
            <w:hideMark/>
          </w:tcPr>
          <w:p w14:paraId="106C9CED"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76</w:t>
            </w:r>
          </w:p>
        </w:tc>
        <w:tc>
          <w:tcPr>
            <w:tcW w:w="130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1CCF69B"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3.1%</w:t>
            </w:r>
          </w:p>
        </w:tc>
        <w:tc>
          <w:tcPr>
            <w:tcW w:w="2372" w:type="dxa"/>
            <w:tcBorders>
              <w:top w:val="nil"/>
              <w:left w:val="nil"/>
              <w:bottom w:val="single" w:sz="4" w:space="0" w:color="auto"/>
              <w:right w:val="single" w:sz="8" w:space="0" w:color="auto"/>
            </w:tcBorders>
            <w:shd w:val="clear" w:color="auto" w:fill="auto"/>
            <w:noWrap/>
            <w:vAlign w:val="bottom"/>
            <w:hideMark/>
          </w:tcPr>
          <w:p w14:paraId="1F1D6F3A"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12</w:t>
            </w:r>
          </w:p>
        </w:tc>
      </w:tr>
      <w:tr w:rsidR="004B05C1" w:rsidRPr="004B05C1" w14:paraId="414DFE41" w14:textId="77777777" w:rsidTr="004B05C1">
        <w:trPr>
          <w:trHeight w:val="285"/>
        </w:trPr>
        <w:tc>
          <w:tcPr>
            <w:tcW w:w="929" w:type="dxa"/>
            <w:tcBorders>
              <w:top w:val="nil"/>
              <w:left w:val="single" w:sz="8" w:space="0" w:color="auto"/>
              <w:bottom w:val="single" w:sz="4" w:space="0" w:color="auto"/>
              <w:right w:val="single" w:sz="4" w:space="0" w:color="auto"/>
            </w:tcBorders>
            <w:shd w:val="clear" w:color="auto" w:fill="auto"/>
            <w:noWrap/>
            <w:vAlign w:val="bottom"/>
            <w:hideMark/>
          </w:tcPr>
          <w:p w14:paraId="1CD918FA"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17</w:t>
            </w:r>
          </w:p>
        </w:tc>
        <w:tc>
          <w:tcPr>
            <w:tcW w:w="5837" w:type="dxa"/>
            <w:tcBorders>
              <w:top w:val="nil"/>
              <w:left w:val="nil"/>
              <w:bottom w:val="single" w:sz="4" w:space="0" w:color="auto"/>
              <w:right w:val="single" w:sz="4" w:space="0" w:color="auto"/>
            </w:tcBorders>
            <w:shd w:val="clear" w:color="auto" w:fill="auto"/>
            <w:noWrap/>
            <w:vAlign w:val="bottom"/>
            <w:hideMark/>
          </w:tcPr>
          <w:p w14:paraId="4F9FEE6F"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 xml:space="preserve">Elgin </w:t>
            </w:r>
            <w:proofErr w:type="spellStart"/>
            <w:r w:rsidRPr="004B05C1">
              <w:rPr>
                <w:rFonts w:ascii="Calibri" w:eastAsia="Times New Roman" w:hAnsi="Calibri" w:cs="Calibri"/>
                <w:color w:val="000000"/>
                <w:sz w:val="22"/>
                <w:szCs w:val="22"/>
                <w:lang w:eastAsia="en-GB"/>
              </w:rPr>
              <w:t>Bishopmill</w:t>
            </w:r>
            <w:proofErr w:type="spellEnd"/>
            <w:r w:rsidRPr="004B05C1">
              <w:rPr>
                <w:rFonts w:ascii="Calibri" w:eastAsia="Times New Roman" w:hAnsi="Calibri" w:cs="Calibri"/>
                <w:color w:val="000000"/>
                <w:sz w:val="22"/>
                <w:szCs w:val="22"/>
                <w:lang w:eastAsia="en-GB"/>
              </w:rPr>
              <w:t xml:space="preserve"> West and Newfield</w:t>
            </w:r>
          </w:p>
        </w:tc>
        <w:tc>
          <w:tcPr>
            <w:tcW w:w="2531" w:type="dxa"/>
            <w:tcBorders>
              <w:top w:val="nil"/>
              <w:left w:val="nil"/>
              <w:bottom w:val="single" w:sz="4" w:space="0" w:color="auto"/>
              <w:right w:val="single" w:sz="4" w:space="0" w:color="auto"/>
            </w:tcBorders>
            <w:shd w:val="clear" w:color="auto" w:fill="auto"/>
            <w:noWrap/>
            <w:vAlign w:val="bottom"/>
            <w:hideMark/>
          </w:tcPr>
          <w:p w14:paraId="458AFA55"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Elgin Academy</w:t>
            </w:r>
          </w:p>
        </w:tc>
        <w:tc>
          <w:tcPr>
            <w:tcW w:w="1382" w:type="dxa"/>
            <w:tcBorders>
              <w:top w:val="nil"/>
              <w:left w:val="nil"/>
              <w:bottom w:val="single" w:sz="4" w:space="0" w:color="auto"/>
              <w:right w:val="single" w:sz="4" w:space="0" w:color="auto"/>
            </w:tcBorders>
            <w:shd w:val="clear" w:color="auto" w:fill="auto"/>
            <w:noWrap/>
            <w:vAlign w:val="bottom"/>
            <w:hideMark/>
          </w:tcPr>
          <w:p w14:paraId="7FB258D4"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w:t>
            </w:r>
          </w:p>
        </w:tc>
        <w:tc>
          <w:tcPr>
            <w:tcW w:w="1190" w:type="dxa"/>
            <w:tcBorders>
              <w:top w:val="nil"/>
              <w:left w:val="nil"/>
              <w:bottom w:val="single" w:sz="4" w:space="0" w:color="auto"/>
              <w:right w:val="single" w:sz="4" w:space="0" w:color="auto"/>
            </w:tcBorders>
            <w:shd w:val="clear" w:color="auto" w:fill="auto"/>
            <w:noWrap/>
            <w:vAlign w:val="bottom"/>
            <w:hideMark/>
          </w:tcPr>
          <w:p w14:paraId="7806C7EE"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588</w:t>
            </w:r>
          </w:p>
        </w:tc>
        <w:tc>
          <w:tcPr>
            <w:tcW w:w="1167" w:type="dxa"/>
            <w:tcBorders>
              <w:top w:val="nil"/>
              <w:left w:val="nil"/>
              <w:bottom w:val="single" w:sz="4" w:space="0" w:color="auto"/>
              <w:right w:val="single" w:sz="4" w:space="0" w:color="auto"/>
            </w:tcBorders>
            <w:shd w:val="clear" w:color="auto" w:fill="auto"/>
            <w:noWrap/>
            <w:vAlign w:val="bottom"/>
            <w:hideMark/>
          </w:tcPr>
          <w:p w14:paraId="3730ECAC"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7</w:t>
            </w:r>
          </w:p>
        </w:tc>
        <w:tc>
          <w:tcPr>
            <w:tcW w:w="1083" w:type="dxa"/>
            <w:tcBorders>
              <w:top w:val="nil"/>
              <w:left w:val="nil"/>
              <w:bottom w:val="single" w:sz="4" w:space="0" w:color="auto"/>
              <w:right w:val="single" w:sz="4" w:space="0" w:color="auto"/>
            </w:tcBorders>
            <w:shd w:val="clear" w:color="auto" w:fill="auto"/>
            <w:noWrap/>
            <w:vAlign w:val="bottom"/>
            <w:hideMark/>
          </w:tcPr>
          <w:p w14:paraId="6AF45C05"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22</w:t>
            </w:r>
          </w:p>
        </w:tc>
        <w:tc>
          <w:tcPr>
            <w:tcW w:w="1029"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B7B2E58"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5</w:t>
            </w:r>
          </w:p>
        </w:tc>
        <w:tc>
          <w:tcPr>
            <w:tcW w:w="1290" w:type="dxa"/>
            <w:tcBorders>
              <w:top w:val="nil"/>
              <w:left w:val="nil"/>
              <w:bottom w:val="single" w:sz="4" w:space="0" w:color="FFFFFF"/>
              <w:right w:val="single" w:sz="4" w:space="0" w:color="auto"/>
            </w:tcBorders>
            <w:shd w:val="clear" w:color="000000" w:fill="16365C"/>
            <w:noWrap/>
            <w:vAlign w:val="bottom"/>
            <w:hideMark/>
          </w:tcPr>
          <w:p w14:paraId="7FADA9A0" w14:textId="77777777" w:rsidR="004B05C1" w:rsidRPr="004B05C1" w:rsidRDefault="004B05C1" w:rsidP="004B05C1">
            <w:pPr>
              <w:spacing w:before="0" w:after="0" w:line="240" w:lineRule="auto"/>
              <w:jc w:val="center"/>
              <w:rPr>
                <w:rFonts w:ascii="Calibri" w:eastAsia="Times New Roman" w:hAnsi="Calibri" w:cs="Calibri"/>
                <w:color w:val="FFFFFF"/>
                <w:sz w:val="22"/>
                <w:szCs w:val="22"/>
                <w:lang w:eastAsia="en-GB"/>
              </w:rPr>
            </w:pPr>
            <w:r w:rsidRPr="004B05C1">
              <w:rPr>
                <w:rFonts w:ascii="Calibri" w:eastAsia="Times New Roman" w:hAnsi="Calibri" w:cs="Calibri"/>
                <w:color w:val="FFFFFF"/>
                <w:sz w:val="22"/>
                <w:szCs w:val="22"/>
                <w:lang w:eastAsia="en-GB"/>
              </w:rPr>
              <w:t>17.2%</w:t>
            </w:r>
          </w:p>
        </w:tc>
        <w:tc>
          <w:tcPr>
            <w:tcW w:w="1569" w:type="dxa"/>
            <w:tcBorders>
              <w:top w:val="single" w:sz="4" w:space="0" w:color="auto"/>
              <w:left w:val="single" w:sz="4" w:space="0" w:color="auto"/>
              <w:bottom w:val="single" w:sz="4" w:space="0" w:color="auto"/>
              <w:right w:val="single" w:sz="4" w:space="0" w:color="auto"/>
            </w:tcBorders>
            <w:shd w:val="clear" w:color="000000" w:fill="FBD5D8"/>
            <w:noWrap/>
            <w:vAlign w:val="bottom"/>
            <w:hideMark/>
          </w:tcPr>
          <w:p w14:paraId="44516027"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101</w:t>
            </w:r>
          </w:p>
        </w:tc>
        <w:tc>
          <w:tcPr>
            <w:tcW w:w="130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0E289EB"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7.1%</w:t>
            </w:r>
          </w:p>
        </w:tc>
        <w:tc>
          <w:tcPr>
            <w:tcW w:w="2372" w:type="dxa"/>
            <w:tcBorders>
              <w:top w:val="nil"/>
              <w:left w:val="nil"/>
              <w:bottom w:val="single" w:sz="4" w:space="0" w:color="auto"/>
              <w:right w:val="single" w:sz="8" w:space="0" w:color="auto"/>
            </w:tcBorders>
            <w:shd w:val="clear" w:color="auto" w:fill="auto"/>
            <w:noWrap/>
            <w:vAlign w:val="bottom"/>
            <w:hideMark/>
          </w:tcPr>
          <w:p w14:paraId="0DD1B65E"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42</w:t>
            </w:r>
          </w:p>
        </w:tc>
      </w:tr>
      <w:tr w:rsidR="004B05C1" w:rsidRPr="004B05C1" w14:paraId="4B67B5EC" w14:textId="77777777" w:rsidTr="004B05C1">
        <w:trPr>
          <w:trHeight w:val="285"/>
        </w:trPr>
        <w:tc>
          <w:tcPr>
            <w:tcW w:w="929" w:type="dxa"/>
            <w:tcBorders>
              <w:top w:val="nil"/>
              <w:left w:val="single" w:sz="8" w:space="0" w:color="auto"/>
              <w:bottom w:val="single" w:sz="4" w:space="0" w:color="auto"/>
              <w:right w:val="single" w:sz="4" w:space="0" w:color="auto"/>
            </w:tcBorders>
            <w:shd w:val="clear" w:color="auto" w:fill="auto"/>
            <w:noWrap/>
            <w:vAlign w:val="bottom"/>
            <w:hideMark/>
          </w:tcPr>
          <w:p w14:paraId="681FDB3D"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18</w:t>
            </w:r>
          </w:p>
        </w:tc>
        <w:tc>
          <w:tcPr>
            <w:tcW w:w="5837" w:type="dxa"/>
            <w:tcBorders>
              <w:top w:val="nil"/>
              <w:left w:val="nil"/>
              <w:bottom w:val="single" w:sz="4" w:space="0" w:color="auto"/>
              <w:right w:val="single" w:sz="4" w:space="0" w:color="auto"/>
            </w:tcBorders>
            <w:shd w:val="clear" w:color="auto" w:fill="auto"/>
            <w:noWrap/>
            <w:vAlign w:val="bottom"/>
            <w:hideMark/>
          </w:tcPr>
          <w:p w14:paraId="292AB098"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 xml:space="preserve">South Speyside and the </w:t>
            </w:r>
            <w:proofErr w:type="spellStart"/>
            <w:r w:rsidRPr="004B05C1">
              <w:rPr>
                <w:rFonts w:ascii="Calibri" w:eastAsia="Times New Roman" w:hAnsi="Calibri" w:cs="Calibri"/>
                <w:color w:val="000000"/>
                <w:sz w:val="22"/>
                <w:szCs w:val="22"/>
                <w:lang w:eastAsia="en-GB"/>
              </w:rPr>
              <w:t>Cabrach</w:t>
            </w:r>
            <w:proofErr w:type="spellEnd"/>
          </w:p>
        </w:tc>
        <w:tc>
          <w:tcPr>
            <w:tcW w:w="2531" w:type="dxa"/>
            <w:tcBorders>
              <w:top w:val="nil"/>
              <w:left w:val="nil"/>
              <w:bottom w:val="single" w:sz="4" w:space="0" w:color="auto"/>
              <w:right w:val="single" w:sz="4" w:space="0" w:color="auto"/>
            </w:tcBorders>
            <w:shd w:val="clear" w:color="auto" w:fill="auto"/>
            <w:noWrap/>
            <w:vAlign w:val="bottom"/>
            <w:hideMark/>
          </w:tcPr>
          <w:p w14:paraId="65C56D3D"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Speyside High School</w:t>
            </w:r>
          </w:p>
        </w:tc>
        <w:tc>
          <w:tcPr>
            <w:tcW w:w="1382"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61FCBBF0"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w:t>
            </w:r>
          </w:p>
        </w:tc>
        <w:tc>
          <w:tcPr>
            <w:tcW w:w="1190" w:type="dxa"/>
            <w:tcBorders>
              <w:top w:val="nil"/>
              <w:left w:val="nil"/>
              <w:bottom w:val="single" w:sz="4" w:space="0" w:color="auto"/>
              <w:right w:val="single" w:sz="4" w:space="0" w:color="auto"/>
            </w:tcBorders>
            <w:shd w:val="clear" w:color="auto" w:fill="auto"/>
            <w:noWrap/>
            <w:vAlign w:val="bottom"/>
            <w:hideMark/>
          </w:tcPr>
          <w:p w14:paraId="37C2CCEA"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628</w:t>
            </w:r>
          </w:p>
        </w:tc>
        <w:tc>
          <w:tcPr>
            <w:tcW w:w="1167" w:type="dxa"/>
            <w:tcBorders>
              <w:top w:val="nil"/>
              <w:left w:val="nil"/>
              <w:bottom w:val="single" w:sz="4" w:space="0" w:color="auto"/>
              <w:right w:val="single" w:sz="4" w:space="0" w:color="auto"/>
            </w:tcBorders>
            <w:shd w:val="clear" w:color="auto" w:fill="auto"/>
            <w:noWrap/>
            <w:vAlign w:val="bottom"/>
            <w:hideMark/>
          </w:tcPr>
          <w:p w14:paraId="473C07F8"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6</w:t>
            </w:r>
          </w:p>
        </w:tc>
        <w:tc>
          <w:tcPr>
            <w:tcW w:w="1083" w:type="dxa"/>
            <w:tcBorders>
              <w:top w:val="nil"/>
              <w:left w:val="nil"/>
              <w:bottom w:val="single" w:sz="4" w:space="0" w:color="auto"/>
              <w:right w:val="single" w:sz="4" w:space="0" w:color="auto"/>
            </w:tcBorders>
            <w:shd w:val="clear" w:color="auto" w:fill="auto"/>
            <w:noWrap/>
            <w:vAlign w:val="bottom"/>
            <w:hideMark/>
          </w:tcPr>
          <w:p w14:paraId="650AA290"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10</w:t>
            </w:r>
          </w:p>
        </w:tc>
        <w:tc>
          <w:tcPr>
            <w:tcW w:w="1029"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40B569C"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-8</w:t>
            </w:r>
          </w:p>
        </w:tc>
        <w:tc>
          <w:tcPr>
            <w:tcW w:w="1290" w:type="dxa"/>
            <w:tcBorders>
              <w:top w:val="nil"/>
              <w:left w:val="nil"/>
              <w:bottom w:val="single" w:sz="4" w:space="0" w:color="FFFFFF"/>
              <w:right w:val="single" w:sz="4" w:space="0" w:color="auto"/>
            </w:tcBorders>
            <w:shd w:val="clear" w:color="000000" w:fill="16365C"/>
            <w:noWrap/>
            <w:vAlign w:val="bottom"/>
            <w:hideMark/>
          </w:tcPr>
          <w:p w14:paraId="220698E2" w14:textId="77777777" w:rsidR="004B05C1" w:rsidRPr="004B05C1" w:rsidRDefault="004B05C1" w:rsidP="004B05C1">
            <w:pPr>
              <w:spacing w:before="0" w:after="0" w:line="240" w:lineRule="auto"/>
              <w:jc w:val="center"/>
              <w:rPr>
                <w:rFonts w:ascii="Calibri" w:eastAsia="Times New Roman" w:hAnsi="Calibri" w:cs="Calibri"/>
                <w:color w:val="FFFFFF"/>
                <w:sz w:val="22"/>
                <w:szCs w:val="22"/>
                <w:lang w:eastAsia="en-GB"/>
              </w:rPr>
            </w:pPr>
            <w:r w:rsidRPr="004B05C1">
              <w:rPr>
                <w:rFonts w:ascii="Calibri" w:eastAsia="Times New Roman" w:hAnsi="Calibri" w:cs="Calibri"/>
                <w:color w:val="FFFFFF"/>
                <w:sz w:val="22"/>
                <w:szCs w:val="22"/>
                <w:lang w:eastAsia="en-GB"/>
              </w:rPr>
              <w:t>21.7%</w:t>
            </w:r>
          </w:p>
        </w:tc>
        <w:tc>
          <w:tcPr>
            <w:tcW w:w="1569" w:type="dxa"/>
            <w:tcBorders>
              <w:top w:val="single" w:sz="4" w:space="0" w:color="auto"/>
              <w:left w:val="single" w:sz="4" w:space="0" w:color="auto"/>
              <w:bottom w:val="single" w:sz="4" w:space="0" w:color="auto"/>
              <w:right w:val="single" w:sz="4" w:space="0" w:color="auto"/>
            </w:tcBorders>
            <w:shd w:val="clear" w:color="000000" w:fill="FBC3C5"/>
            <w:noWrap/>
            <w:vAlign w:val="bottom"/>
            <w:hideMark/>
          </w:tcPr>
          <w:p w14:paraId="7223D364"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136</w:t>
            </w:r>
          </w:p>
        </w:tc>
        <w:tc>
          <w:tcPr>
            <w:tcW w:w="1301"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371937E"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-2.1%</w:t>
            </w:r>
          </w:p>
        </w:tc>
        <w:tc>
          <w:tcPr>
            <w:tcW w:w="2372" w:type="dxa"/>
            <w:tcBorders>
              <w:top w:val="nil"/>
              <w:left w:val="nil"/>
              <w:bottom w:val="single" w:sz="4" w:space="0" w:color="auto"/>
              <w:right w:val="single" w:sz="8" w:space="0" w:color="auto"/>
            </w:tcBorders>
            <w:shd w:val="clear" w:color="auto" w:fill="auto"/>
            <w:noWrap/>
            <w:vAlign w:val="bottom"/>
            <w:hideMark/>
          </w:tcPr>
          <w:p w14:paraId="173445D5"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-13</w:t>
            </w:r>
          </w:p>
        </w:tc>
      </w:tr>
      <w:tr w:rsidR="004B05C1" w:rsidRPr="004B05C1" w14:paraId="061A64BC" w14:textId="77777777" w:rsidTr="004B05C1">
        <w:trPr>
          <w:trHeight w:val="285"/>
        </w:trPr>
        <w:tc>
          <w:tcPr>
            <w:tcW w:w="929" w:type="dxa"/>
            <w:tcBorders>
              <w:top w:val="nil"/>
              <w:left w:val="single" w:sz="8" w:space="0" w:color="auto"/>
              <w:bottom w:val="single" w:sz="4" w:space="0" w:color="auto"/>
              <w:right w:val="single" w:sz="4" w:space="0" w:color="auto"/>
            </w:tcBorders>
            <w:shd w:val="clear" w:color="auto" w:fill="auto"/>
            <w:noWrap/>
            <w:vAlign w:val="bottom"/>
            <w:hideMark/>
          </w:tcPr>
          <w:p w14:paraId="64BB0BC1"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19</w:t>
            </w:r>
          </w:p>
        </w:tc>
        <w:tc>
          <w:tcPr>
            <w:tcW w:w="5837" w:type="dxa"/>
            <w:tcBorders>
              <w:top w:val="nil"/>
              <w:left w:val="nil"/>
              <w:bottom w:val="single" w:sz="4" w:space="0" w:color="auto"/>
              <w:right w:val="single" w:sz="4" w:space="0" w:color="auto"/>
            </w:tcBorders>
            <w:shd w:val="clear" w:color="auto" w:fill="auto"/>
            <w:noWrap/>
            <w:vAlign w:val="bottom"/>
            <w:hideMark/>
          </w:tcPr>
          <w:p w14:paraId="76BECFF7"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proofErr w:type="spellStart"/>
            <w:r w:rsidRPr="004B05C1">
              <w:rPr>
                <w:rFonts w:ascii="Calibri" w:eastAsia="Times New Roman" w:hAnsi="Calibri" w:cs="Calibri"/>
                <w:color w:val="000000"/>
                <w:sz w:val="22"/>
                <w:szCs w:val="22"/>
                <w:lang w:eastAsia="en-GB"/>
              </w:rPr>
              <w:t>Heldon</w:t>
            </w:r>
            <w:proofErr w:type="spellEnd"/>
            <w:r w:rsidRPr="004B05C1">
              <w:rPr>
                <w:rFonts w:ascii="Calibri" w:eastAsia="Times New Roman" w:hAnsi="Calibri" w:cs="Calibri"/>
                <w:color w:val="000000"/>
                <w:sz w:val="22"/>
                <w:szCs w:val="22"/>
                <w:lang w:eastAsia="en-GB"/>
              </w:rPr>
              <w:t xml:space="preserve"> West, </w:t>
            </w:r>
            <w:proofErr w:type="spellStart"/>
            <w:r w:rsidRPr="004B05C1">
              <w:rPr>
                <w:rFonts w:ascii="Calibri" w:eastAsia="Times New Roman" w:hAnsi="Calibri" w:cs="Calibri"/>
                <w:color w:val="000000"/>
                <w:sz w:val="22"/>
                <w:szCs w:val="22"/>
                <w:lang w:eastAsia="en-GB"/>
              </w:rPr>
              <w:t>Fogwatt</w:t>
            </w:r>
            <w:proofErr w:type="spellEnd"/>
            <w:r w:rsidRPr="004B05C1">
              <w:rPr>
                <w:rFonts w:ascii="Calibri" w:eastAsia="Times New Roman" w:hAnsi="Calibri" w:cs="Calibri"/>
                <w:color w:val="000000"/>
                <w:sz w:val="22"/>
                <w:szCs w:val="22"/>
                <w:lang w:eastAsia="en-GB"/>
              </w:rPr>
              <w:t xml:space="preserve"> to </w:t>
            </w:r>
            <w:proofErr w:type="spellStart"/>
            <w:r w:rsidRPr="004B05C1">
              <w:rPr>
                <w:rFonts w:ascii="Calibri" w:eastAsia="Times New Roman" w:hAnsi="Calibri" w:cs="Calibri"/>
                <w:color w:val="000000"/>
                <w:sz w:val="22"/>
                <w:szCs w:val="22"/>
                <w:lang w:eastAsia="en-GB"/>
              </w:rPr>
              <w:t>Inchberry</w:t>
            </w:r>
            <w:proofErr w:type="spellEnd"/>
          </w:p>
        </w:tc>
        <w:tc>
          <w:tcPr>
            <w:tcW w:w="2531" w:type="dxa"/>
            <w:tcBorders>
              <w:top w:val="nil"/>
              <w:left w:val="nil"/>
              <w:bottom w:val="single" w:sz="4" w:space="0" w:color="auto"/>
              <w:right w:val="single" w:sz="4" w:space="0" w:color="auto"/>
            </w:tcBorders>
            <w:shd w:val="clear" w:color="auto" w:fill="auto"/>
            <w:noWrap/>
            <w:vAlign w:val="bottom"/>
            <w:hideMark/>
          </w:tcPr>
          <w:p w14:paraId="113D234E"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Milne's High School</w:t>
            </w:r>
          </w:p>
        </w:tc>
        <w:tc>
          <w:tcPr>
            <w:tcW w:w="1382"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71802274"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w:t>
            </w:r>
          </w:p>
        </w:tc>
        <w:tc>
          <w:tcPr>
            <w:tcW w:w="1190" w:type="dxa"/>
            <w:tcBorders>
              <w:top w:val="nil"/>
              <w:left w:val="nil"/>
              <w:bottom w:val="single" w:sz="4" w:space="0" w:color="auto"/>
              <w:right w:val="single" w:sz="4" w:space="0" w:color="auto"/>
            </w:tcBorders>
            <w:shd w:val="clear" w:color="auto" w:fill="auto"/>
            <w:noWrap/>
            <w:vAlign w:val="bottom"/>
            <w:hideMark/>
          </w:tcPr>
          <w:p w14:paraId="5BB6A20B"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1234</w:t>
            </w:r>
          </w:p>
        </w:tc>
        <w:tc>
          <w:tcPr>
            <w:tcW w:w="1167" w:type="dxa"/>
            <w:tcBorders>
              <w:top w:val="nil"/>
              <w:left w:val="nil"/>
              <w:bottom w:val="single" w:sz="4" w:space="0" w:color="auto"/>
              <w:right w:val="single" w:sz="4" w:space="0" w:color="auto"/>
            </w:tcBorders>
            <w:shd w:val="clear" w:color="auto" w:fill="auto"/>
            <w:noWrap/>
            <w:vAlign w:val="bottom"/>
            <w:hideMark/>
          </w:tcPr>
          <w:p w14:paraId="08735B0A"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6</w:t>
            </w:r>
          </w:p>
        </w:tc>
        <w:tc>
          <w:tcPr>
            <w:tcW w:w="1083" w:type="dxa"/>
            <w:tcBorders>
              <w:top w:val="nil"/>
              <w:left w:val="nil"/>
              <w:bottom w:val="single" w:sz="4" w:space="0" w:color="auto"/>
              <w:right w:val="single" w:sz="4" w:space="0" w:color="auto"/>
            </w:tcBorders>
            <w:shd w:val="clear" w:color="auto" w:fill="auto"/>
            <w:noWrap/>
            <w:vAlign w:val="bottom"/>
            <w:hideMark/>
          </w:tcPr>
          <w:p w14:paraId="4C783658"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23</w:t>
            </w:r>
          </w:p>
        </w:tc>
        <w:tc>
          <w:tcPr>
            <w:tcW w:w="1029"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AC9B226"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4</w:t>
            </w:r>
          </w:p>
        </w:tc>
        <w:tc>
          <w:tcPr>
            <w:tcW w:w="1290" w:type="dxa"/>
            <w:tcBorders>
              <w:top w:val="nil"/>
              <w:left w:val="nil"/>
              <w:bottom w:val="single" w:sz="4" w:space="0" w:color="FFFFFF"/>
              <w:right w:val="single" w:sz="4" w:space="0" w:color="auto"/>
            </w:tcBorders>
            <w:shd w:val="clear" w:color="000000" w:fill="16365C"/>
            <w:noWrap/>
            <w:vAlign w:val="bottom"/>
            <w:hideMark/>
          </w:tcPr>
          <w:p w14:paraId="66C43006" w14:textId="77777777" w:rsidR="004B05C1" w:rsidRPr="004B05C1" w:rsidRDefault="004B05C1" w:rsidP="004B05C1">
            <w:pPr>
              <w:spacing w:before="0" w:after="0" w:line="240" w:lineRule="auto"/>
              <w:jc w:val="center"/>
              <w:rPr>
                <w:rFonts w:ascii="Calibri" w:eastAsia="Times New Roman" w:hAnsi="Calibri" w:cs="Calibri"/>
                <w:color w:val="FFFFFF"/>
                <w:sz w:val="22"/>
                <w:szCs w:val="22"/>
                <w:lang w:eastAsia="en-GB"/>
              </w:rPr>
            </w:pPr>
            <w:r w:rsidRPr="004B05C1">
              <w:rPr>
                <w:rFonts w:ascii="Calibri" w:eastAsia="Times New Roman" w:hAnsi="Calibri" w:cs="Calibri"/>
                <w:color w:val="FFFFFF"/>
                <w:sz w:val="22"/>
                <w:szCs w:val="22"/>
                <w:lang w:eastAsia="en-GB"/>
              </w:rPr>
              <w:t>16.2%</w:t>
            </w:r>
          </w:p>
        </w:tc>
        <w:tc>
          <w:tcPr>
            <w:tcW w:w="1569" w:type="dxa"/>
            <w:tcBorders>
              <w:top w:val="single" w:sz="4" w:space="0" w:color="auto"/>
              <w:left w:val="single" w:sz="4" w:space="0" w:color="auto"/>
              <w:bottom w:val="single" w:sz="4" w:space="0" w:color="auto"/>
              <w:right w:val="single" w:sz="4" w:space="0" w:color="auto"/>
            </w:tcBorders>
            <w:shd w:val="clear" w:color="000000" w:fill="FAA1A3"/>
            <w:noWrap/>
            <w:vAlign w:val="bottom"/>
            <w:hideMark/>
          </w:tcPr>
          <w:p w14:paraId="0F733651"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200</w:t>
            </w:r>
          </w:p>
        </w:tc>
        <w:tc>
          <w:tcPr>
            <w:tcW w:w="130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1F776A0"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3.1%</w:t>
            </w:r>
          </w:p>
        </w:tc>
        <w:tc>
          <w:tcPr>
            <w:tcW w:w="2372" w:type="dxa"/>
            <w:tcBorders>
              <w:top w:val="nil"/>
              <w:left w:val="nil"/>
              <w:bottom w:val="single" w:sz="4" w:space="0" w:color="auto"/>
              <w:right w:val="single" w:sz="8" w:space="0" w:color="auto"/>
            </w:tcBorders>
            <w:shd w:val="clear" w:color="auto" w:fill="auto"/>
            <w:noWrap/>
            <w:vAlign w:val="bottom"/>
            <w:hideMark/>
          </w:tcPr>
          <w:p w14:paraId="1D8EB09E"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38</w:t>
            </w:r>
          </w:p>
        </w:tc>
      </w:tr>
      <w:tr w:rsidR="004B05C1" w:rsidRPr="004B05C1" w14:paraId="2EE8BA68" w14:textId="77777777" w:rsidTr="004B05C1">
        <w:trPr>
          <w:trHeight w:val="285"/>
        </w:trPr>
        <w:tc>
          <w:tcPr>
            <w:tcW w:w="929" w:type="dxa"/>
            <w:tcBorders>
              <w:top w:val="nil"/>
              <w:left w:val="single" w:sz="8" w:space="0" w:color="auto"/>
              <w:bottom w:val="single" w:sz="4" w:space="0" w:color="auto"/>
              <w:right w:val="single" w:sz="4" w:space="0" w:color="auto"/>
            </w:tcBorders>
            <w:shd w:val="clear" w:color="auto" w:fill="auto"/>
            <w:noWrap/>
            <w:vAlign w:val="bottom"/>
            <w:hideMark/>
          </w:tcPr>
          <w:p w14:paraId="3D9730C7"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20</w:t>
            </w:r>
          </w:p>
        </w:tc>
        <w:tc>
          <w:tcPr>
            <w:tcW w:w="5837" w:type="dxa"/>
            <w:tcBorders>
              <w:top w:val="nil"/>
              <w:left w:val="nil"/>
              <w:bottom w:val="single" w:sz="4" w:space="0" w:color="auto"/>
              <w:right w:val="single" w:sz="4" w:space="0" w:color="auto"/>
            </w:tcBorders>
            <w:shd w:val="clear" w:color="auto" w:fill="auto"/>
            <w:noWrap/>
            <w:vAlign w:val="bottom"/>
            <w:hideMark/>
          </w:tcPr>
          <w:p w14:paraId="6C3709C6"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Rural Keith and Strathisla</w:t>
            </w:r>
          </w:p>
        </w:tc>
        <w:tc>
          <w:tcPr>
            <w:tcW w:w="2531" w:type="dxa"/>
            <w:tcBorders>
              <w:top w:val="nil"/>
              <w:left w:val="nil"/>
              <w:bottom w:val="single" w:sz="4" w:space="0" w:color="auto"/>
              <w:right w:val="single" w:sz="4" w:space="0" w:color="auto"/>
            </w:tcBorders>
            <w:shd w:val="clear" w:color="auto" w:fill="auto"/>
            <w:noWrap/>
            <w:vAlign w:val="bottom"/>
            <w:hideMark/>
          </w:tcPr>
          <w:p w14:paraId="167ED5B6"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Keith Grammar School</w:t>
            </w:r>
          </w:p>
        </w:tc>
        <w:tc>
          <w:tcPr>
            <w:tcW w:w="1382"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1AD9666F"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w:t>
            </w:r>
          </w:p>
        </w:tc>
        <w:tc>
          <w:tcPr>
            <w:tcW w:w="1190" w:type="dxa"/>
            <w:tcBorders>
              <w:top w:val="nil"/>
              <w:left w:val="nil"/>
              <w:bottom w:val="single" w:sz="4" w:space="0" w:color="auto"/>
              <w:right w:val="single" w:sz="4" w:space="0" w:color="auto"/>
            </w:tcBorders>
            <w:shd w:val="clear" w:color="auto" w:fill="auto"/>
            <w:noWrap/>
            <w:vAlign w:val="bottom"/>
            <w:hideMark/>
          </w:tcPr>
          <w:p w14:paraId="213B7676"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508</w:t>
            </w:r>
          </w:p>
        </w:tc>
        <w:tc>
          <w:tcPr>
            <w:tcW w:w="1167" w:type="dxa"/>
            <w:tcBorders>
              <w:top w:val="nil"/>
              <w:left w:val="nil"/>
              <w:bottom w:val="single" w:sz="4" w:space="0" w:color="auto"/>
              <w:right w:val="single" w:sz="4" w:space="0" w:color="auto"/>
            </w:tcBorders>
            <w:shd w:val="clear" w:color="auto" w:fill="auto"/>
            <w:noWrap/>
            <w:vAlign w:val="bottom"/>
            <w:hideMark/>
          </w:tcPr>
          <w:p w14:paraId="013C40F2"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6</w:t>
            </w:r>
          </w:p>
        </w:tc>
        <w:tc>
          <w:tcPr>
            <w:tcW w:w="1083" w:type="dxa"/>
            <w:tcBorders>
              <w:top w:val="nil"/>
              <w:left w:val="nil"/>
              <w:bottom w:val="single" w:sz="4" w:space="0" w:color="auto"/>
              <w:right w:val="single" w:sz="4" w:space="0" w:color="auto"/>
            </w:tcBorders>
            <w:shd w:val="clear" w:color="auto" w:fill="auto"/>
            <w:noWrap/>
            <w:vAlign w:val="bottom"/>
            <w:hideMark/>
          </w:tcPr>
          <w:p w14:paraId="7F94409A"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19</w:t>
            </w:r>
          </w:p>
        </w:tc>
        <w:tc>
          <w:tcPr>
            <w:tcW w:w="1029"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57F5917"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w:t>
            </w:r>
          </w:p>
        </w:tc>
        <w:tc>
          <w:tcPr>
            <w:tcW w:w="1290" w:type="dxa"/>
            <w:tcBorders>
              <w:top w:val="nil"/>
              <w:left w:val="nil"/>
              <w:bottom w:val="single" w:sz="4" w:space="0" w:color="FFFFFF"/>
              <w:right w:val="single" w:sz="4" w:space="0" w:color="auto"/>
            </w:tcBorders>
            <w:shd w:val="clear" w:color="000000" w:fill="16365C"/>
            <w:noWrap/>
            <w:vAlign w:val="bottom"/>
            <w:hideMark/>
          </w:tcPr>
          <w:p w14:paraId="3189CA8E" w14:textId="77777777" w:rsidR="004B05C1" w:rsidRPr="004B05C1" w:rsidRDefault="004B05C1" w:rsidP="004B05C1">
            <w:pPr>
              <w:spacing w:before="0" w:after="0" w:line="240" w:lineRule="auto"/>
              <w:jc w:val="center"/>
              <w:rPr>
                <w:rFonts w:ascii="Calibri" w:eastAsia="Times New Roman" w:hAnsi="Calibri" w:cs="Calibri"/>
                <w:color w:val="FFFFFF"/>
                <w:sz w:val="22"/>
                <w:szCs w:val="22"/>
                <w:lang w:eastAsia="en-GB"/>
              </w:rPr>
            </w:pPr>
            <w:r w:rsidRPr="004B05C1">
              <w:rPr>
                <w:rFonts w:ascii="Calibri" w:eastAsia="Times New Roman" w:hAnsi="Calibri" w:cs="Calibri"/>
                <w:color w:val="FFFFFF"/>
                <w:sz w:val="22"/>
                <w:szCs w:val="22"/>
                <w:lang w:eastAsia="en-GB"/>
              </w:rPr>
              <w:t>19.0%</w:t>
            </w:r>
          </w:p>
        </w:tc>
        <w:tc>
          <w:tcPr>
            <w:tcW w:w="1569" w:type="dxa"/>
            <w:tcBorders>
              <w:top w:val="single" w:sz="4" w:space="0" w:color="auto"/>
              <w:left w:val="single" w:sz="4" w:space="0" w:color="auto"/>
              <w:bottom w:val="single" w:sz="4" w:space="0" w:color="auto"/>
              <w:right w:val="single" w:sz="4" w:space="0" w:color="auto"/>
            </w:tcBorders>
            <w:shd w:val="clear" w:color="000000" w:fill="FCD8DB"/>
            <w:noWrap/>
            <w:vAlign w:val="bottom"/>
            <w:hideMark/>
          </w:tcPr>
          <w:p w14:paraId="0E2C8587"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96</w:t>
            </w:r>
          </w:p>
        </w:tc>
        <w:tc>
          <w:tcPr>
            <w:tcW w:w="1301"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D0B3AA6"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-0.1%</w:t>
            </w:r>
          </w:p>
        </w:tc>
        <w:tc>
          <w:tcPr>
            <w:tcW w:w="2372" w:type="dxa"/>
            <w:tcBorders>
              <w:top w:val="nil"/>
              <w:left w:val="nil"/>
              <w:bottom w:val="single" w:sz="4" w:space="0" w:color="auto"/>
              <w:right w:val="single" w:sz="8" w:space="0" w:color="auto"/>
            </w:tcBorders>
            <w:shd w:val="clear" w:color="auto" w:fill="auto"/>
            <w:noWrap/>
            <w:vAlign w:val="bottom"/>
            <w:hideMark/>
          </w:tcPr>
          <w:p w14:paraId="12D5CB66"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w:t>
            </w:r>
          </w:p>
        </w:tc>
      </w:tr>
      <w:tr w:rsidR="004B05C1" w:rsidRPr="004B05C1" w14:paraId="0ABF29D0" w14:textId="77777777" w:rsidTr="004B05C1">
        <w:trPr>
          <w:trHeight w:val="285"/>
        </w:trPr>
        <w:tc>
          <w:tcPr>
            <w:tcW w:w="929" w:type="dxa"/>
            <w:tcBorders>
              <w:top w:val="nil"/>
              <w:left w:val="single" w:sz="8" w:space="0" w:color="auto"/>
              <w:bottom w:val="single" w:sz="4" w:space="0" w:color="auto"/>
              <w:right w:val="single" w:sz="4" w:space="0" w:color="auto"/>
            </w:tcBorders>
            <w:shd w:val="clear" w:color="auto" w:fill="auto"/>
            <w:noWrap/>
            <w:vAlign w:val="bottom"/>
            <w:hideMark/>
          </w:tcPr>
          <w:p w14:paraId="31440405"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21</w:t>
            </w:r>
          </w:p>
        </w:tc>
        <w:tc>
          <w:tcPr>
            <w:tcW w:w="5837" w:type="dxa"/>
            <w:tcBorders>
              <w:top w:val="nil"/>
              <w:left w:val="nil"/>
              <w:bottom w:val="single" w:sz="4" w:space="0" w:color="auto"/>
              <w:right w:val="single" w:sz="4" w:space="0" w:color="auto"/>
            </w:tcBorders>
            <w:shd w:val="clear" w:color="auto" w:fill="auto"/>
            <w:noWrap/>
            <w:vAlign w:val="bottom"/>
            <w:hideMark/>
          </w:tcPr>
          <w:p w14:paraId="195AFE4C"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Findhorn, Kinloss and Pluscarden Valley</w:t>
            </w:r>
          </w:p>
        </w:tc>
        <w:tc>
          <w:tcPr>
            <w:tcW w:w="2531" w:type="dxa"/>
            <w:tcBorders>
              <w:top w:val="nil"/>
              <w:left w:val="nil"/>
              <w:bottom w:val="single" w:sz="4" w:space="0" w:color="auto"/>
              <w:right w:val="single" w:sz="4" w:space="0" w:color="auto"/>
            </w:tcBorders>
            <w:shd w:val="clear" w:color="auto" w:fill="auto"/>
            <w:noWrap/>
            <w:vAlign w:val="bottom"/>
            <w:hideMark/>
          </w:tcPr>
          <w:p w14:paraId="52DA7237"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Forres Academy</w:t>
            </w:r>
          </w:p>
        </w:tc>
        <w:tc>
          <w:tcPr>
            <w:tcW w:w="1382"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215C8232"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w:t>
            </w:r>
          </w:p>
        </w:tc>
        <w:tc>
          <w:tcPr>
            <w:tcW w:w="1190" w:type="dxa"/>
            <w:tcBorders>
              <w:top w:val="nil"/>
              <w:left w:val="nil"/>
              <w:bottom w:val="single" w:sz="4" w:space="0" w:color="auto"/>
              <w:right w:val="single" w:sz="4" w:space="0" w:color="auto"/>
            </w:tcBorders>
            <w:shd w:val="clear" w:color="auto" w:fill="auto"/>
            <w:noWrap/>
            <w:vAlign w:val="bottom"/>
            <w:hideMark/>
          </w:tcPr>
          <w:p w14:paraId="74FB8650"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675</w:t>
            </w:r>
          </w:p>
        </w:tc>
        <w:tc>
          <w:tcPr>
            <w:tcW w:w="1167" w:type="dxa"/>
            <w:tcBorders>
              <w:top w:val="nil"/>
              <w:left w:val="nil"/>
              <w:bottom w:val="single" w:sz="4" w:space="0" w:color="auto"/>
              <w:right w:val="single" w:sz="4" w:space="0" w:color="auto"/>
            </w:tcBorders>
            <w:shd w:val="clear" w:color="auto" w:fill="auto"/>
            <w:noWrap/>
            <w:vAlign w:val="bottom"/>
            <w:hideMark/>
          </w:tcPr>
          <w:p w14:paraId="705C9635"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7</w:t>
            </w:r>
          </w:p>
        </w:tc>
        <w:tc>
          <w:tcPr>
            <w:tcW w:w="1083" w:type="dxa"/>
            <w:tcBorders>
              <w:top w:val="nil"/>
              <w:left w:val="nil"/>
              <w:bottom w:val="single" w:sz="4" w:space="0" w:color="auto"/>
              <w:right w:val="single" w:sz="4" w:space="0" w:color="auto"/>
            </w:tcBorders>
            <w:shd w:val="clear" w:color="auto" w:fill="auto"/>
            <w:noWrap/>
            <w:vAlign w:val="bottom"/>
            <w:hideMark/>
          </w:tcPr>
          <w:p w14:paraId="2AFB65DE"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18</w:t>
            </w:r>
          </w:p>
        </w:tc>
        <w:tc>
          <w:tcPr>
            <w:tcW w:w="1029"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97FBDCF"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-3</w:t>
            </w:r>
          </w:p>
        </w:tc>
        <w:tc>
          <w:tcPr>
            <w:tcW w:w="1290" w:type="dxa"/>
            <w:tcBorders>
              <w:top w:val="nil"/>
              <w:left w:val="nil"/>
              <w:bottom w:val="single" w:sz="4" w:space="0" w:color="FFFFFF"/>
              <w:right w:val="single" w:sz="4" w:space="0" w:color="auto"/>
            </w:tcBorders>
            <w:shd w:val="clear" w:color="000000" w:fill="16365C"/>
            <w:noWrap/>
            <w:vAlign w:val="bottom"/>
            <w:hideMark/>
          </w:tcPr>
          <w:p w14:paraId="04A15E9B" w14:textId="77777777" w:rsidR="004B05C1" w:rsidRPr="004B05C1" w:rsidRDefault="004B05C1" w:rsidP="004B05C1">
            <w:pPr>
              <w:spacing w:before="0" w:after="0" w:line="240" w:lineRule="auto"/>
              <w:jc w:val="center"/>
              <w:rPr>
                <w:rFonts w:ascii="Calibri" w:eastAsia="Times New Roman" w:hAnsi="Calibri" w:cs="Calibri"/>
                <w:color w:val="FFFFFF"/>
                <w:sz w:val="22"/>
                <w:szCs w:val="22"/>
                <w:lang w:eastAsia="en-GB"/>
              </w:rPr>
            </w:pPr>
            <w:r w:rsidRPr="004B05C1">
              <w:rPr>
                <w:rFonts w:ascii="Calibri" w:eastAsia="Times New Roman" w:hAnsi="Calibri" w:cs="Calibri"/>
                <w:color w:val="FFFFFF"/>
                <w:sz w:val="22"/>
                <w:szCs w:val="22"/>
                <w:lang w:eastAsia="en-GB"/>
              </w:rPr>
              <w:t>27.2%</w:t>
            </w:r>
          </w:p>
        </w:tc>
        <w:tc>
          <w:tcPr>
            <w:tcW w:w="1569" w:type="dxa"/>
            <w:tcBorders>
              <w:top w:val="single" w:sz="4" w:space="0" w:color="auto"/>
              <w:left w:val="single" w:sz="4" w:space="0" w:color="auto"/>
              <w:bottom w:val="single" w:sz="4" w:space="0" w:color="auto"/>
              <w:right w:val="single" w:sz="4" w:space="0" w:color="auto"/>
            </w:tcBorders>
            <w:shd w:val="clear" w:color="000000" w:fill="FAAAAC"/>
            <w:noWrap/>
            <w:vAlign w:val="bottom"/>
            <w:hideMark/>
          </w:tcPr>
          <w:p w14:paraId="3DB720D3"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183</w:t>
            </w:r>
          </w:p>
        </w:tc>
        <w:tc>
          <w:tcPr>
            <w:tcW w:w="130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5730131"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5.3%</w:t>
            </w:r>
          </w:p>
        </w:tc>
        <w:tc>
          <w:tcPr>
            <w:tcW w:w="2372" w:type="dxa"/>
            <w:tcBorders>
              <w:top w:val="nil"/>
              <w:left w:val="nil"/>
              <w:bottom w:val="single" w:sz="4" w:space="0" w:color="auto"/>
              <w:right w:val="single" w:sz="8" w:space="0" w:color="auto"/>
            </w:tcBorders>
            <w:shd w:val="clear" w:color="auto" w:fill="auto"/>
            <w:noWrap/>
            <w:vAlign w:val="bottom"/>
            <w:hideMark/>
          </w:tcPr>
          <w:p w14:paraId="180173AB"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36</w:t>
            </w:r>
          </w:p>
        </w:tc>
      </w:tr>
      <w:tr w:rsidR="004B05C1" w:rsidRPr="004B05C1" w14:paraId="1AF89582" w14:textId="77777777" w:rsidTr="004B05C1">
        <w:trPr>
          <w:trHeight w:val="285"/>
        </w:trPr>
        <w:tc>
          <w:tcPr>
            <w:tcW w:w="929" w:type="dxa"/>
            <w:tcBorders>
              <w:top w:val="nil"/>
              <w:left w:val="single" w:sz="8" w:space="0" w:color="auto"/>
              <w:bottom w:val="single" w:sz="4" w:space="0" w:color="auto"/>
              <w:right w:val="single" w:sz="4" w:space="0" w:color="auto"/>
            </w:tcBorders>
            <w:shd w:val="clear" w:color="auto" w:fill="auto"/>
            <w:noWrap/>
            <w:vAlign w:val="bottom"/>
            <w:hideMark/>
          </w:tcPr>
          <w:p w14:paraId="62B3B700"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22</w:t>
            </w:r>
          </w:p>
        </w:tc>
        <w:tc>
          <w:tcPr>
            <w:tcW w:w="5837" w:type="dxa"/>
            <w:tcBorders>
              <w:top w:val="nil"/>
              <w:left w:val="nil"/>
              <w:bottom w:val="single" w:sz="4" w:space="0" w:color="auto"/>
              <w:right w:val="single" w:sz="4" w:space="0" w:color="auto"/>
            </w:tcBorders>
            <w:shd w:val="clear" w:color="auto" w:fill="auto"/>
            <w:noWrap/>
            <w:vAlign w:val="bottom"/>
            <w:hideMark/>
          </w:tcPr>
          <w:p w14:paraId="23805BCF"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proofErr w:type="spellStart"/>
            <w:r w:rsidRPr="004B05C1">
              <w:rPr>
                <w:rFonts w:ascii="Calibri" w:eastAsia="Times New Roman" w:hAnsi="Calibri" w:cs="Calibri"/>
                <w:color w:val="000000"/>
                <w:sz w:val="22"/>
                <w:szCs w:val="22"/>
                <w:lang w:eastAsia="en-GB"/>
              </w:rPr>
              <w:t>Burghead</w:t>
            </w:r>
            <w:proofErr w:type="spellEnd"/>
            <w:r w:rsidRPr="004B05C1">
              <w:rPr>
                <w:rFonts w:ascii="Calibri" w:eastAsia="Times New Roman" w:hAnsi="Calibri" w:cs="Calibri"/>
                <w:color w:val="000000"/>
                <w:sz w:val="22"/>
                <w:szCs w:val="22"/>
                <w:lang w:eastAsia="en-GB"/>
              </w:rPr>
              <w:t xml:space="preserve">, </w:t>
            </w:r>
            <w:proofErr w:type="spellStart"/>
            <w:r w:rsidRPr="004B05C1">
              <w:rPr>
                <w:rFonts w:ascii="Calibri" w:eastAsia="Times New Roman" w:hAnsi="Calibri" w:cs="Calibri"/>
                <w:color w:val="000000"/>
                <w:sz w:val="22"/>
                <w:szCs w:val="22"/>
                <w:lang w:eastAsia="en-GB"/>
              </w:rPr>
              <w:t>Roseisle</w:t>
            </w:r>
            <w:proofErr w:type="spellEnd"/>
            <w:r w:rsidRPr="004B05C1">
              <w:rPr>
                <w:rFonts w:ascii="Calibri" w:eastAsia="Times New Roman" w:hAnsi="Calibri" w:cs="Calibri"/>
                <w:color w:val="000000"/>
                <w:sz w:val="22"/>
                <w:szCs w:val="22"/>
                <w:lang w:eastAsia="en-GB"/>
              </w:rPr>
              <w:t xml:space="preserve"> and Laich</w:t>
            </w:r>
          </w:p>
        </w:tc>
        <w:tc>
          <w:tcPr>
            <w:tcW w:w="2531" w:type="dxa"/>
            <w:tcBorders>
              <w:top w:val="nil"/>
              <w:left w:val="nil"/>
              <w:bottom w:val="single" w:sz="4" w:space="0" w:color="auto"/>
              <w:right w:val="single" w:sz="4" w:space="0" w:color="auto"/>
            </w:tcBorders>
            <w:shd w:val="clear" w:color="auto" w:fill="auto"/>
            <w:noWrap/>
            <w:vAlign w:val="bottom"/>
            <w:hideMark/>
          </w:tcPr>
          <w:p w14:paraId="0E4EE1C1"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Lossiemouth High School</w:t>
            </w:r>
          </w:p>
        </w:tc>
        <w:tc>
          <w:tcPr>
            <w:tcW w:w="1382"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03375C85"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w:t>
            </w:r>
          </w:p>
        </w:tc>
        <w:tc>
          <w:tcPr>
            <w:tcW w:w="1190" w:type="dxa"/>
            <w:tcBorders>
              <w:top w:val="nil"/>
              <w:left w:val="nil"/>
              <w:bottom w:val="single" w:sz="4" w:space="0" w:color="auto"/>
              <w:right w:val="single" w:sz="4" w:space="0" w:color="auto"/>
            </w:tcBorders>
            <w:shd w:val="clear" w:color="auto" w:fill="auto"/>
            <w:noWrap/>
            <w:vAlign w:val="bottom"/>
            <w:hideMark/>
          </w:tcPr>
          <w:p w14:paraId="7DE4FEA7"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844</w:t>
            </w:r>
          </w:p>
        </w:tc>
        <w:tc>
          <w:tcPr>
            <w:tcW w:w="1167" w:type="dxa"/>
            <w:tcBorders>
              <w:top w:val="nil"/>
              <w:left w:val="nil"/>
              <w:bottom w:val="single" w:sz="4" w:space="0" w:color="auto"/>
              <w:right w:val="single" w:sz="4" w:space="0" w:color="auto"/>
            </w:tcBorders>
            <w:shd w:val="clear" w:color="auto" w:fill="auto"/>
            <w:noWrap/>
            <w:vAlign w:val="bottom"/>
            <w:hideMark/>
          </w:tcPr>
          <w:p w14:paraId="550A508B"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8</w:t>
            </w:r>
          </w:p>
        </w:tc>
        <w:tc>
          <w:tcPr>
            <w:tcW w:w="1083" w:type="dxa"/>
            <w:tcBorders>
              <w:top w:val="nil"/>
              <w:left w:val="nil"/>
              <w:bottom w:val="single" w:sz="4" w:space="0" w:color="auto"/>
              <w:right w:val="single" w:sz="4" w:space="0" w:color="auto"/>
            </w:tcBorders>
            <w:shd w:val="clear" w:color="auto" w:fill="auto"/>
            <w:noWrap/>
            <w:vAlign w:val="bottom"/>
            <w:hideMark/>
          </w:tcPr>
          <w:p w14:paraId="07C0C96E"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21</w:t>
            </w:r>
          </w:p>
        </w:tc>
        <w:tc>
          <w:tcPr>
            <w:tcW w:w="1029"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9FC27C7"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w:t>
            </w:r>
          </w:p>
        </w:tc>
        <w:tc>
          <w:tcPr>
            <w:tcW w:w="1290" w:type="dxa"/>
            <w:tcBorders>
              <w:top w:val="nil"/>
              <w:left w:val="nil"/>
              <w:bottom w:val="single" w:sz="4" w:space="0" w:color="FFFFFF"/>
              <w:right w:val="single" w:sz="4" w:space="0" w:color="auto"/>
            </w:tcBorders>
            <w:shd w:val="clear" w:color="000000" w:fill="16365C"/>
            <w:noWrap/>
            <w:vAlign w:val="bottom"/>
            <w:hideMark/>
          </w:tcPr>
          <w:p w14:paraId="298EB438" w14:textId="77777777" w:rsidR="004B05C1" w:rsidRPr="004B05C1" w:rsidRDefault="004B05C1" w:rsidP="004B05C1">
            <w:pPr>
              <w:spacing w:before="0" w:after="0" w:line="240" w:lineRule="auto"/>
              <w:jc w:val="center"/>
              <w:rPr>
                <w:rFonts w:ascii="Calibri" w:eastAsia="Times New Roman" w:hAnsi="Calibri" w:cs="Calibri"/>
                <w:color w:val="FFFFFF"/>
                <w:sz w:val="22"/>
                <w:szCs w:val="22"/>
                <w:lang w:eastAsia="en-GB"/>
              </w:rPr>
            </w:pPr>
            <w:r w:rsidRPr="004B05C1">
              <w:rPr>
                <w:rFonts w:ascii="Calibri" w:eastAsia="Times New Roman" w:hAnsi="Calibri" w:cs="Calibri"/>
                <w:color w:val="FFFFFF"/>
                <w:sz w:val="22"/>
                <w:szCs w:val="22"/>
                <w:lang w:eastAsia="en-GB"/>
              </w:rPr>
              <w:t>16.0%</w:t>
            </w:r>
          </w:p>
        </w:tc>
        <w:tc>
          <w:tcPr>
            <w:tcW w:w="1569" w:type="dxa"/>
            <w:tcBorders>
              <w:top w:val="single" w:sz="4" w:space="0" w:color="auto"/>
              <w:left w:val="single" w:sz="4" w:space="0" w:color="auto"/>
              <w:bottom w:val="single" w:sz="4" w:space="0" w:color="auto"/>
              <w:right w:val="single" w:sz="4" w:space="0" w:color="auto"/>
            </w:tcBorders>
            <w:shd w:val="clear" w:color="000000" w:fill="FBC3C6"/>
            <w:noWrap/>
            <w:vAlign w:val="bottom"/>
            <w:hideMark/>
          </w:tcPr>
          <w:p w14:paraId="62A4814A"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135</w:t>
            </w:r>
          </w:p>
        </w:tc>
        <w:tc>
          <w:tcPr>
            <w:tcW w:w="1301"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C00CF85"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-1.0%</w:t>
            </w:r>
          </w:p>
        </w:tc>
        <w:tc>
          <w:tcPr>
            <w:tcW w:w="2372" w:type="dxa"/>
            <w:tcBorders>
              <w:top w:val="nil"/>
              <w:left w:val="nil"/>
              <w:bottom w:val="single" w:sz="4" w:space="0" w:color="auto"/>
              <w:right w:val="single" w:sz="8" w:space="0" w:color="auto"/>
            </w:tcBorders>
            <w:shd w:val="clear" w:color="auto" w:fill="auto"/>
            <w:noWrap/>
            <w:vAlign w:val="bottom"/>
            <w:hideMark/>
          </w:tcPr>
          <w:p w14:paraId="262600C7"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-9</w:t>
            </w:r>
          </w:p>
        </w:tc>
      </w:tr>
      <w:tr w:rsidR="004B05C1" w:rsidRPr="004B05C1" w14:paraId="5B276420" w14:textId="77777777" w:rsidTr="004B05C1">
        <w:trPr>
          <w:trHeight w:val="285"/>
        </w:trPr>
        <w:tc>
          <w:tcPr>
            <w:tcW w:w="929" w:type="dxa"/>
            <w:tcBorders>
              <w:top w:val="nil"/>
              <w:left w:val="single" w:sz="8" w:space="0" w:color="auto"/>
              <w:bottom w:val="single" w:sz="4" w:space="0" w:color="auto"/>
              <w:right w:val="single" w:sz="4" w:space="0" w:color="auto"/>
            </w:tcBorders>
            <w:shd w:val="clear" w:color="auto" w:fill="auto"/>
            <w:noWrap/>
            <w:vAlign w:val="bottom"/>
            <w:hideMark/>
          </w:tcPr>
          <w:p w14:paraId="4D8C4D14"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23</w:t>
            </w:r>
          </w:p>
        </w:tc>
        <w:tc>
          <w:tcPr>
            <w:tcW w:w="5837" w:type="dxa"/>
            <w:tcBorders>
              <w:top w:val="nil"/>
              <w:left w:val="nil"/>
              <w:bottom w:val="single" w:sz="4" w:space="0" w:color="auto"/>
              <w:right w:val="single" w:sz="4" w:space="0" w:color="auto"/>
            </w:tcBorders>
            <w:shd w:val="clear" w:color="auto" w:fill="auto"/>
            <w:noWrap/>
            <w:vAlign w:val="bottom"/>
            <w:hideMark/>
          </w:tcPr>
          <w:p w14:paraId="1A75E297"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Rafford, Dallas, Dyke to Dava</w:t>
            </w:r>
          </w:p>
        </w:tc>
        <w:tc>
          <w:tcPr>
            <w:tcW w:w="2531" w:type="dxa"/>
            <w:tcBorders>
              <w:top w:val="nil"/>
              <w:left w:val="nil"/>
              <w:bottom w:val="single" w:sz="4" w:space="0" w:color="auto"/>
              <w:right w:val="single" w:sz="4" w:space="0" w:color="auto"/>
            </w:tcBorders>
            <w:shd w:val="clear" w:color="auto" w:fill="auto"/>
            <w:noWrap/>
            <w:vAlign w:val="bottom"/>
            <w:hideMark/>
          </w:tcPr>
          <w:p w14:paraId="37828B08"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Forres Academy</w:t>
            </w:r>
          </w:p>
        </w:tc>
        <w:tc>
          <w:tcPr>
            <w:tcW w:w="1382"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261C7305"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w:t>
            </w:r>
          </w:p>
        </w:tc>
        <w:tc>
          <w:tcPr>
            <w:tcW w:w="1190" w:type="dxa"/>
            <w:tcBorders>
              <w:top w:val="nil"/>
              <w:left w:val="nil"/>
              <w:bottom w:val="single" w:sz="4" w:space="0" w:color="auto"/>
              <w:right w:val="single" w:sz="4" w:space="0" w:color="auto"/>
            </w:tcBorders>
            <w:shd w:val="clear" w:color="auto" w:fill="auto"/>
            <w:noWrap/>
            <w:vAlign w:val="bottom"/>
            <w:hideMark/>
          </w:tcPr>
          <w:p w14:paraId="2C755ABD"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744</w:t>
            </w:r>
          </w:p>
        </w:tc>
        <w:tc>
          <w:tcPr>
            <w:tcW w:w="1167" w:type="dxa"/>
            <w:tcBorders>
              <w:top w:val="nil"/>
              <w:left w:val="nil"/>
              <w:bottom w:val="single" w:sz="4" w:space="0" w:color="auto"/>
              <w:right w:val="single" w:sz="4" w:space="0" w:color="auto"/>
            </w:tcBorders>
            <w:shd w:val="clear" w:color="auto" w:fill="auto"/>
            <w:noWrap/>
            <w:vAlign w:val="bottom"/>
            <w:hideMark/>
          </w:tcPr>
          <w:p w14:paraId="2D26C8EC"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7</w:t>
            </w:r>
          </w:p>
        </w:tc>
        <w:tc>
          <w:tcPr>
            <w:tcW w:w="1083" w:type="dxa"/>
            <w:tcBorders>
              <w:top w:val="nil"/>
              <w:left w:val="nil"/>
              <w:bottom w:val="single" w:sz="4" w:space="0" w:color="auto"/>
              <w:right w:val="single" w:sz="4" w:space="0" w:color="auto"/>
            </w:tcBorders>
            <w:shd w:val="clear" w:color="auto" w:fill="auto"/>
            <w:noWrap/>
            <w:vAlign w:val="bottom"/>
            <w:hideMark/>
          </w:tcPr>
          <w:p w14:paraId="43F6CB6B"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20</w:t>
            </w:r>
          </w:p>
        </w:tc>
        <w:tc>
          <w:tcPr>
            <w:tcW w:w="1029"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DE69EDC"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-3</w:t>
            </w:r>
          </w:p>
        </w:tc>
        <w:tc>
          <w:tcPr>
            <w:tcW w:w="1290" w:type="dxa"/>
            <w:tcBorders>
              <w:top w:val="nil"/>
              <w:left w:val="nil"/>
              <w:bottom w:val="single" w:sz="4" w:space="0" w:color="FFFFFF"/>
              <w:right w:val="single" w:sz="4" w:space="0" w:color="auto"/>
            </w:tcBorders>
            <w:shd w:val="clear" w:color="000000" w:fill="16365C"/>
            <w:noWrap/>
            <w:vAlign w:val="bottom"/>
            <w:hideMark/>
          </w:tcPr>
          <w:p w14:paraId="436959B4" w14:textId="77777777" w:rsidR="004B05C1" w:rsidRPr="004B05C1" w:rsidRDefault="004B05C1" w:rsidP="004B05C1">
            <w:pPr>
              <w:spacing w:before="0" w:after="0" w:line="240" w:lineRule="auto"/>
              <w:jc w:val="center"/>
              <w:rPr>
                <w:rFonts w:ascii="Calibri" w:eastAsia="Times New Roman" w:hAnsi="Calibri" w:cs="Calibri"/>
                <w:color w:val="FFFFFF"/>
                <w:sz w:val="22"/>
                <w:szCs w:val="22"/>
                <w:lang w:eastAsia="en-GB"/>
              </w:rPr>
            </w:pPr>
            <w:r w:rsidRPr="004B05C1">
              <w:rPr>
                <w:rFonts w:ascii="Calibri" w:eastAsia="Times New Roman" w:hAnsi="Calibri" w:cs="Calibri"/>
                <w:color w:val="FFFFFF"/>
                <w:sz w:val="22"/>
                <w:szCs w:val="22"/>
                <w:lang w:eastAsia="en-GB"/>
              </w:rPr>
              <w:t>16.4%</w:t>
            </w:r>
          </w:p>
        </w:tc>
        <w:tc>
          <w:tcPr>
            <w:tcW w:w="1569" w:type="dxa"/>
            <w:tcBorders>
              <w:top w:val="single" w:sz="4" w:space="0" w:color="auto"/>
              <w:left w:val="single" w:sz="4" w:space="0" w:color="auto"/>
              <w:bottom w:val="single" w:sz="4" w:space="0" w:color="auto"/>
              <w:right w:val="single" w:sz="4" w:space="0" w:color="auto"/>
            </w:tcBorders>
            <w:shd w:val="clear" w:color="000000" w:fill="FBCACD"/>
            <w:noWrap/>
            <w:vAlign w:val="bottom"/>
            <w:hideMark/>
          </w:tcPr>
          <w:p w14:paraId="3BA32AED"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122</w:t>
            </w:r>
          </w:p>
        </w:tc>
        <w:tc>
          <w:tcPr>
            <w:tcW w:w="1301"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DB2AC72"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0.3%</w:t>
            </w:r>
          </w:p>
        </w:tc>
        <w:tc>
          <w:tcPr>
            <w:tcW w:w="2372" w:type="dxa"/>
            <w:tcBorders>
              <w:top w:val="nil"/>
              <w:left w:val="nil"/>
              <w:bottom w:val="single" w:sz="4" w:space="0" w:color="auto"/>
              <w:right w:val="single" w:sz="8" w:space="0" w:color="auto"/>
            </w:tcBorders>
            <w:shd w:val="clear" w:color="auto" w:fill="auto"/>
            <w:noWrap/>
            <w:vAlign w:val="bottom"/>
            <w:hideMark/>
          </w:tcPr>
          <w:p w14:paraId="4A8E9643"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w:t>
            </w:r>
          </w:p>
        </w:tc>
      </w:tr>
      <w:tr w:rsidR="004B05C1" w:rsidRPr="004B05C1" w14:paraId="08194184" w14:textId="77777777" w:rsidTr="004B05C1">
        <w:trPr>
          <w:trHeight w:val="285"/>
        </w:trPr>
        <w:tc>
          <w:tcPr>
            <w:tcW w:w="929" w:type="dxa"/>
            <w:tcBorders>
              <w:top w:val="nil"/>
              <w:left w:val="single" w:sz="8" w:space="0" w:color="auto"/>
              <w:bottom w:val="single" w:sz="4" w:space="0" w:color="auto"/>
              <w:right w:val="single" w:sz="4" w:space="0" w:color="auto"/>
            </w:tcBorders>
            <w:shd w:val="clear" w:color="auto" w:fill="auto"/>
            <w:noWrap/>
            <w:vAlign w:val="bottom"/>
            <w:hideMark/>
          </w:tcPr>
          <w:p w14:paraId="11390D06"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24</w:t>
            </w:r>
          </w:p>
        </w:tc>
        <w:tc>
          <w:tcPr>
            <w:tcW w:w="5837" w:type="dxa"/>
            <w:tcBorders>
              <w:top w:val="nil"/>
              <w:left w:val="nil"/>
              <w:bottom w:val="single" w:sz="4" w:space="0" w:color="auto"/>
              <w:right w:val="single" w:sz="4" w:space="0" w:color="auto"/>
            </w:tcBorders>
            <w:shd w:val="clear" w:color="auto" w:fill="auto"/>
            <w:noWrap/>
            <w:vAlign w:val="bottom"/>
            <w:hideMark/>
          </w:tcPr>
          <w:p w14:paraId="54B55A26"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Elgin Central West</w:t>
            </w:r>
          </w:p>
        </w:tc>
        <w:tc>
          <w:tcPr>
            <w:tcW w:w="2531" w:type="dxa"/>
            <w:tcBorders>
              <w:top w:val="nil"/>
              <w:left w:val="nil"/>
              <w:bottom w:val="single" w:sz="4" w:space="0" w:color="auto"/>
              <w:right w:val="single" w:sz="4" w:space="0" w:color="auto"/>
            </w:tcBorders>
            <w:shd w:val="clear" w:color="auto" w:fill="auto"/>
            <w:noWrap/>
            <w:vAlign w:val="bottom"/>
            <w:hideMark/>
          </w:tcPr>
          <w:p w14:paraId="4C503BC5" w14:textId="77777777" w:rsidR="004B05C1" w:rsidRPr="004B05C1" w:rsidRDefault="004B05C1" w:rsidP="004B05C1">
            <w:pPr>
              <w:spacing w:before="0" w:after="0" w:line="240" w:lineRule="auto"/>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Elgin Academy</w:t>
            </w:r>
          </w:p>
        </w:tc>
        <w:tc>
          <w:tcPr>
            <w:tcW w:w="1382" w:type="dxa"/>
            <w:tcBorders>
              <w:top w:val="nil"/>
              <w:left w:val="nil"/>
              <w:bottom w:val="single" w:sz="4" w:space="0" w:color="auto"/>
              <w:right w:val="single" w:sz="4" w:space="0" w:color="auto"/>
            </w:tcBorders>
            <w:shd w:val="clear" w:color="auto" w:fill="auto"/>
            <w:noWrap/>
            <w:vAlign w:val="bottom"/>
            <w:hideMark/>
          </w:tcPr>
          <w:p w14:paraId="3D11D7D9"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1</w:t>
            </w:r>
          </w:p>
        </w:tc>
        <w:tc>
          <w:tcPr>
            <w:tcW w:w="1190" w:type="dxa"/>
            <w:tcBorders>
              <w:top w:val="nil"/>
              <w:left w:val="nil"/>
              <w:bottom w:val="single" w:sz="4" w:space="0" w:color="auto"/>
              <w:right w:val="single" w:sz="4" w:space="0" w:color="auto"/>
            </w:tcBorders>
            <w:shd w:val="clear" w:color="auto" w:fill="auto"/>
            <w:noWrap/>
            <w:vAlign w:val="bottom"/>
            <w:hideMark/>
          </w:tcPr>
          <w:p w14:paraId="70926D28"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437</w:t>
            </w:r>
          </w:p>
        </w:tc>
        <w:tc>
          <w:tcPr>
            <w:tcW w:w="1167" w:type="dxa"/>
            <w:tcBorders>
              <w:top w:val="nil"/>
              <w:left w:val="nil"/>
              <w:bottom w:val="single" w:sz="4" w:space="0" w:color="auto"/>
              <w:right w:val="single" w:sz="4" w:space="0" w:color="auto"/>
            </w:tcBorders>
            <w:shd w:val="clear" w:color="auto" w:fill="auto"/>
            <w:noWrap/>
            <w:vAlign w:val="bottom"/>
            <w:hideMark/>
          </w:tcPr>
          <w:p w14:paraId="3C7282C1"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14:paraId="100EFD42"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24</w:t>
            </w:r>
          </w:p>
        </w:tc>
        <w:tc>
          <w:tcPr>
            <w:tcW w:w="1029" w:type="dxa"/>
            <w:tcBorders>
              <w:top w:val="nil"/>
              <w:left w:val="nil"/>
              <w:bottom w:val="single" w:sz="4" w:space="0" w:color="auto"/>
              <w:right w:val="single" w:sz="4" w:space="0" w:color="auto"/>
            </w:tcBorders>
            <w:shd w:val="clear" w:color="auto" w:fill="auto"/>
            <w:noWrap/>
            <w:vAlign w:val="bottom"/>
            <w:hideMark/>
          </w:tcPr>
          <w:p w14:paraId="2A1689F8"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w:t>
            </w:r>
          </w:p>
        </w:tc>
        <w:tc>
          <w:tcPr>
            <w:tcW w:w="1290" w:type="dxa"/>
            <w:tcBorders>
              <w:top w:val="nil"/>
              <w:left w:val="nil"/>
              <w:bottom w:val="single" w:sz="4" w:space="0" w:color="FFFFFF"/>
              <w:right w:val="single" w:sz="4" w:space="0" w:color="auto"/>
            </w:tcBorders>
            <w:shd w:val="clear" w:color="000000" w:fill="16365C"/>
            <w:noWrap/>
            <w:vAlign w:val="bottom"/>
            <w:hideMark/>
          </w:tcPr>
          <w:p w14:paraId="3DB7C363" w14:textId="77777777" w:rsidR="004B05C1" w:rsidRPr="004B05C1" w:rsidRDefault="004B05C1" w:rsidP="004B05C1">
            <w:pPr>
              <w:spacing w:before="0" w:after="0" w:line="240" w:lineRule="auto"/>
              <w:jc w:val="center"/>
              <w:rPr>
                <w:rFonts w:ascii="Calibri" w:eastAsia="Times New Roman" w:hAnsi="Calibri" w:cs="Calibri"/>
                <w:color w:val="FFFFFF"/>
                <w:sz w:val="22"/>
                <w:szCs w:val="22"/>
                <w:lang w:eastAsia="en-GB"/>
              </w:rPr>
            </w:pPr>
            <w:r w:rsidRPr="004B05C1">
              <w:rPr>
                <w:rFonts w:ascii="Calibri" w:eastAsia="Times New Roman" w:hAnsi="Calibri" w:cs="Calibri"/>
                <w:color w:val="FFFFFF"/>
                <w:sz w:val="22"/>
                <w:szCs w:val="22"/>
                <w:lang w:eastAsia="en-GB"/>
              </w:rPr>
              <w:t>6.2%</w:t>
            </w:r>
          </w:p>
        </w:tc>
        <w:tc>
          <w:tcPr>
            <w:tcW w:w="1569" w:type="dxa"/>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4DCF9411"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27</w:t>
            </w:r>
          </w:p>
        </w:tc>
        <w:tc>
          <w:tcPr>
            <w:tcW w:w="1301"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F70279E"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-7.6%</w:t>
            </w:r>
          </w:p>
        </w:tc>
        <w:tc>
          <w:tcPr>
            <w:tcW w:w="2372" w:type="dxa"/>
            <w:tcBorders>
              <w:top w:val="nil"/>
              <w:left w:val="nil"/>
              <w:bottom w:val="single" w:sz="4" w:space="0" w:color="auto"/>
              <w:right w:val="single" w:sz="8" w:space="0" w:color="auto"/>
            </w:tcBorders>
            <w:shd w:val="clear" w:color="auto" w:fill="auto"/>
            <w:noWrap/>
            <w:vAlign w:val="bottom"/>
            <w:hideMark/>
          </w:tcPr>
          <w:p w14:paraId="7CACB143" w14:textId="77777777" w:rsidR="004B05C1" w:rsidRPr="004B05C1" w:rsidRDefault="004B05C1" w:rsidP="004B05C1">
            <w:pPr>
              <w:spacing w:before="0" w:after="0" w:line="240" w:lineRule="auto"/>
              <w:jc w:val="center"/>
              <w:rPr>
                <w:rFonts w:ascii="Calibri" w:eastAsia="Times New Roman" w:hAnsi="Calibri" w:cs="Calibri"/>
                <w:color w:val="000000"/>
                <w:sz w:val="22"/>
                <w:szCs w:val="22"/>
                <w:lang w:eastAsia="en-GB"/>
              </w:rPr>
            </w:pPr>
            <w:r w:rsidRPr="004B05C1">
              <w:rPr>
                <w:rFonts w:ascii="Calibri" w:eastAsia="Times New Roman" w:hAnsi="Calibri" w:cs="Calibri"/>
                <w:color w:val="000000"/>
                <w:sz w:val="22"/>
                <w:szCs w:val="22"/>
                <w:lang w:eastAsia="en-GB"/>
              </w:rPr>
              <w:t>-33</w:t>
            </w:r>
          </w:p>
        </w:tc>
      </w:tr>
      <w:tr w:rsidR="004B05C1" w:rsidRPr="004B05C1" w14:paraId="583ED43D" w14:textId="77777777" w:rsidTr="004B05C1">
        <w:trPr>
          <w:trHeight w:val="293"/>
        </w:trPr>
        <w:tc>
          <w:tcPr>
            <w:tcW w:w="929" w:type="dxa"/>
            <w:tcBorders>
              <w:top w:val="nil"/>
              <w:left w:val="single" w:sz="8" w:space="0" w:color="auto"/>
              <w:bottom w:val="single" w:sz="8" w:space="0" w:color="auto"/>
              <w:right w:val="single" w:sz="4" w:space="0" w:color="auto"/>
            </w:tcBorders>
            <w:shd w:val="clear" w:color="000000" w:fill="000000"/>
            <w:noWrap/>
            <w:vAlign w:val="bottom"/>
            <w:hideMark/>
          </w:tcPr>
          <w:p w14:paraId="4BF32744" w14:textId="77777777" w:rsidR="004B05C1" w:rsidRPr="004B05C1" w:rsidRDefault="004B05C1" w:rsidP="004B05C1">
            <w:pPr>
              <w:spacing w:before="0" w:after="0" w:line="240" w:lineRule="auto"/>
              <w:rPr>
                <w:rFonts w:ascii="Calibri" w:eastAsia="Times New Roman" w:hAnsi="Calibri" w:cs="Calibri"/>
                <w:b/>
                <w:bCs/>
                <w:color w:val="FFFFFF"/>
                <w:sz w:val="22"/>
                <w:szCs w:val="22"/>
                <w:lang w:eastAsia="en-GB"/>
              </w:rPr>
            </w:pPr>
            <w:r w:rsidRPr="004B05C1">
              <w:rPr>
                <w:rFonts w:ascii="Calibri" w:eastAsia="Times New Roman" w:hAnsi="Calibri" w:cs="Calibri"/>
                <w:b/>
                <w:bCs/>
                <w:color w:val="FFFFFF"/>
                <w:sz w:val="22"/>
                <w:szCs w:val="22"/>
                <w:lang w:eastAsia="en-GB"/>
              </w:rPr>
              <w:t> </w:t>
            </w:r>
          </w:p>
        </w:tc>
        <w:tc>
          <w:tcPr>
            <w:tcW w:w="5837" w:type="dxa"/>
            <w:tcBorders>
              <w:top w:val="nil"/>
              <w:left w:val="nil"/>
              <w:bottom w:val="single" w:sz="8" w:space="0" w:color="auto"/>
              <w:right w:val="single" w:sz="4" w:space="0" w:color="auto"/>
            </w:tcBorders>
            <w:shd w:val="clear" w:color="000000" w:fill="000000"/>
            <w:noWrap/>
            <w:vAlign w:val="bottom"/>
            <w:hideMark/>
          </w:tcPr>
          <w:p w14:paraId="4A362C07" w14:textId="77777777" w:rsidR="004B05C1" w:rsidRPr="004B05C1" w:rsidRDefault="004B05C1" w:rsidP="004B05C1">
            <w:pPr>
              <w:spacing w:before="0" w:after="0" w:line="240" w:lineRule="auto"/>
              <w:rPr>
                <w:rFonts w:ascii="Calibri" w:eastAsia="Times New Roman" w:hAnsi="Calibri" w:cs="Calibri"/>
                <w:b/>
                <w:bCs/>
                <w:color w:val="FFFFFF"/>
                <w:sz w:val="22"/>
                <w:szCs w:val="22"/>
                <w:lang w:eastAsia="en-GB"/>
              </w:rPr>
            </w:pPr>
            <w:r w:rsidRPr="004B05C1">
              <w:rPr>
                <w:rFonts w:ascii="Calibri" w:eastAsia="Times New Roman" w:hAnsi="Calibri" w:cs="Calibri"/>
                <w:b/>
                <w:bCs/>
                <w:color w:val="FFFFFF"/>
                <w:sz w:val="22"/>
                <w:szCs w:val="22"/>
                <w:lang w:eastAsia="en-GB"/>
              </w:rPr>
              <w:t> </w:t>
            </w:r>
          </w:p>
        </w:tc>
        <w:tc>
          <w:tcPr>
            <w:tcW w:w="2531" w:type="dxa"/>
            <w:tcBorders>
              <w:top w:val="nil"/>
              <w:left w:val="nil"/>
              <w:bottom w:val="single" w:sz="8" w:space="0" w:color="auto"/>
              <w:right w:val="single" w:sz="4" w:space="0" w:color="auto"/>
            </w:tcBorders>
            <w:shd w:val="clear" w:color="000000" w:fill="000000"/>
            <w:noWrap/>
            <w:vAlign w:val="bottom"/>
            <w:hideMark/>
          </w:tcPr>
          <w:p w14:paraId="1B43D798" w14:textId="77777777" w:rsidR="004B05C1" w:rsidRPr="004B05C1" w:rsidRDefault="004B05C1" w:rsidP="004B05C1">
            <w:pPr>
              <w:spacing w:before="0" w:after="0" w:line="240" w:lineRule="auto"/>
              <w:rPr>
                <w:rFonts w:ascii="Calibri" w:eastAsia="Times New Roman" w:hAnsi="Calibri" w:cs="Calibri"/>
                <w:b/>
                <w:bCs/>
                <w:color w:val="FFFFFF"/>
                <w:sz w:val="22"/>
                <w:szCs w:val="22"/>
                <w:lang w:eastAsia="en-GB"/>
              </w:rPr>
            </w:pPr>
            <w:r w:rsidRPr="004B05C1">
              <w:rPr>
                <w:rFonts w:ascii="Calibri" w:eastAsia="Times New Roman" w:hAnsi="Calibri" w:cs="Calibri"/>
                <w:b/>
                <w:bCs/>
                <w:color w:val="FFFFFF"/>
                <w:sz w:val="22"/>
                <w:szCs w:val="22"/>
                <w:lang w:eastAsia="en-GB"/>
              </w:rPr>
              <w:t> </w:t>
            </w:r>
          </w:p>
        </w:tc>
        <w:tc>
          <w:tcPr>
            <w:tcW w:w="1382" w:type="dxa"/>
            <w:tcBorders>
              <w:top w:val="nil"/>
              <w:left w:val="nil"/>
              <w:bottom w:val="single" w:sz="8" w:space="0" w:color="auto"/>
              <w:right w:val="single" w:sz="4" w:space="0" w:color="auto"/>
            </w:tcBorders>
            <w:shd w:val="clear" w:color="000000" w:fill="000000"/>
            <w:noWrap/>
            <w:vAlign w:val="bottom"/>
            <w:hideMark/>
          </w:tcPr>
          <w:p w14:paraId="14B2ADE6" w14:textId="77777777" w:rsidR="004B05C1" w:rsidRPr="004B05C1" w:rsidRDefault="004B05C1" w:rsidP="004B05C1">
            <w:pPr>
              <w:spacing w:before="0" w:after="0" w:line="240" w:lineRule="auto"/>
              <w:jc w:val="center"/>
              <w:rPr>
                <w:rFonts w:ascii="Calibri" w:eastAsia="Times New Roman" w:hAnsi="Calibri" w:cs="Calibri"/>
                <w:b/>
                <w:bCs/>
                <w:color w:val="FFFFFF"/>
                <w:sz w:val="22"/>
                <w:szCs w:val="22"/>
                <w:lang w:eastAsia="en-GB"/>
              </w:rPr>
            </w:pPr>
            <w:r w:rsidRPr="004B05C1">
              <w:rPr>
                <w:rFonts w:ascii="Calibri" w:eastAsia="Times New Roman" w:hAnsi="Calibri" w:cs="Calibri"/>
                <w:b/>
                <w:bCs/>
                <w:color w:val="FFFFFF"/>
                <w:sz w:val="22"/>
                <w:szCs w:val="22"/>
                <w:lang w:eastAsia="en-GB"/>
              </w:rPr>
              <w:t>TOTALS</w:t>
            </w:r>
          </w:p>
        </w:tc>
        <w:tc>
          <w:tcPr>
            <w:tcW w:w="1190" w:type="dxa"/>
            <w:tcBorders>
              <w:top w:val="nil"/>
              <w:left w:val="nil"/>
              <w:bottom w:val="single" w:sz="8" w:space="0" w:color="auto"/>
              <w:right w:val="single" w:sz="4" w:space="0" w:color="auto"/>
            </w:tcBorders>
            <w:shd w:val="clear" w:color="000000" w:fill="000000"/>
            <w:noWrap/>
            <w:vAlign w:val="bottom"/>
            <w:hideMark/>
          </w:tcPr>
          <w:p w14:paraId="25C61591" w14:textId="77777777" w:rsidR="004B05C1" w:rsidRPr="004B05C1" w:rsidRDefault="004B05C1" w:rsidP="004B05C1">
            <w:pPr>
              <w:spacing w:before="0" w:after="0" w:line="240" w:lineRule="auto"/>
              <w:jc w:val="center"/>
              <w:rPr>
                <w:rFonts w:ascii="Calibri" w:eastAsia="Times New Roman" w:hAnsi="Calibri" w:cs="Calibri"/>
                <w:b/>
                <w:bCs/>
                <w:color w:val="FFFFFF"/>
                <w:sz w:val="22"/>
                <w:szCs w:val="22"/>
                <w:lang w:eastAsia="en-GB"/>
              </w:rPr>
            </w:pPr>
            <w:r w:rsidRPr="004B05C1">
              <w:rPr>
                <w:rFonts w:ascii="Calibri" w:eastAsia="Times New Roman" w:hAnsi="Calibri" w:cs="Calibri"/>
                <w:b/>
                <w:bCs/>
                <w:color w:val="FFFFFF"/>
                <w:sz w:val="22"/>
                <w:szCs w:val="22"/>
                <w:lang w:eastAsia="en-GB"/>
              </w:rPr>
              <w:t>15941</w:t>
            </w:r>
          </w:p>
        </w:tc>
        <w:tc>
          <w:tcPr>
            <w:tcW w:w="1167" w:type="dxa"/>
            <w:tcBorders>
              <w:top w:val="nil"/>
              <w:left w:val="nil"/>
              <w:bottom w:val="single" w:sz="8" w:space="0" w:color="auto"/>
              <w:right w:val="single" w:sz="4" w:space="0" w:color="auto"/>
            </w:tcBorders>
            <w:shd w:val="clear" w:color="000000" w:fill="000000"/>
            <w:noWrap/>
            <w:vAlign w:val="bottom"/>
            <w:hideMark/>
          </w:tcPr>
          <w:p w14:paraId="3B361A51" w14:textId="77777777" w:rsidR="004B05C1" w:rsidRPr="004B05C1" w:rsidRDefault="004B05C1" w:rsidP="004B05C1">
            <w:pPr>
              <w:spacing w:before="0" w:after="0" w:line="240" w:lineRule="auto"/>
              <w:jc w:val="center"/>
              <w:rPr>
                <w:rFonts w:ascii="Calibri" w:eastAsia="Times New Roman" w:hAnsi="Calibri" w:cs="Calibri"/>
                <w:b/>
                <w:bCs/>
                <w:color w:val="FFFFFF"/>
                <w:sz w:val="22"/>
                <w:szCs w:val="22"/>
                <w:lang w:eastAsia="en-GB"/>
              </w:rPr>
            </w:pPr>
            <w:r w:rsidRPr="004B05C1">
              <w:rPr>
                <w:rFonts w:ascii="Calibri" w:eastAsia="Times New Roman" w:hAnsi="Calibri" w:cs="Calibri"/>
                <w:b/>
                <w:bCs/>
                <w:color w:val="FFFFFF"/>
                <w:sz w:val="22"/>
                <w:szCs w:val="22"/>
                <w:lang w:eastAsia="en-GB"/>
              </w:rPr>
              <w:t> </w:t>
            </w:r>
          </w:p>
        </w:tc>
        <w:tc>
          <w:tcPr>
            <w:tcW w:w="1083" w:type="dxa"/>
            <w:tcBorders>
              <w:top w:val="nil"/>
              <w:left w:val="nil"/>
              <w:bottom w:val="single" w:sz="8" w:space="0" w:color="auto"/>
              <w:right w:val="single" w:sz="4" w:space="0" w:color="auto"/>
            </w:tcBorders>
            <w:shd w:val="clear" w:color="000000" w:fill="000000"/>
            <w:noWrap/>
            <w:vAlign w:val="bottom"/>
            <w:hideMark/>
          </w:tcPr>
          <w:p w14:paraId="259C6992" w14:textId="77777777" w:rsidR="004B05C1" w:rsidRPr="004B05C1" w:rsidRDefault="004B05C1" w:rsidP="004B05C1">
            <w:pPr>
              <w:spacing w:before="0" w:after="0" w:line="240" w:lineRule="auto"/>
              <w:jc w:val="center"/>
              <w:rPr>
                <w:rFonts w:ascii="Calibri" w:eastAsia="Times New Roman" w:hAnsi="Calibri" w:cs="Calibri"/>
                <w:b/>
                <w:bCs/>
                <w:color w:val="FFFFFF"/>
                <w:sz w:val="22"/>
                <w:szCs w:val="22"/>
                <w:lang w:eastAsia="en-GB"/>
              </w:rPr>
            </w:pPr>
            <w:r w:rsidRPr="004B05C1">
              <w:rPr>
                <w:rFonts w:ascii="Calibri" w:eastAsia="Times New Roman" w:hAnsi="Calibri" w:cs="Calibri"/>
                <w:b/>
                <w:bCs/>
                <w:color w:val="FFFFFF"/>
                <w:sz w:val="22"/>
                <w:szCs w:val="22"/>
                <w:lang w:eastAsia="en-GB"/>
              </w:rPr>
              <w:t> </w:t>
            </w:r>
          </w:p>
        </w:tc>
        <w:tc>
          <w:tcPr>
            <w:tcW w:w="1029" w:type="dxa"/>
            <w:tcBorders>
              <w:top w:val="nil"/>
              <w:left w:val="nil"/>
              <w:bottom w:val="single" w:sz="8" w:space="0" w:color="auto"/>
              <w:right w:val="single" w:sz="4" w:space="0" w:color="auto"/>
            </w:tcBorders>
            <w:shd w:val="clear" w:color="000000" w:fill="000000"/>
            <w:noWrap/>
            <w:vAlign w:val="bottom"/>
            <w:hideMark/>
          </w:tcPr>
          <w:p w14:paraId="7C8ADF33" w14:textId="77777777" w:rsidR="004B05C1" w:rsidRPr="004B05C1" w:rsidRDefault="004B05C1" w:rsidP="004B05C1">
            <w:pPr>
              <w:spacing w:before="0" w:after="0" w:line="240" w:lineRule="auto"/>
              <w:jc w:val="center"/>
              <w:rPr>
                <w:rFonts w:ascii="Calibri" w:eastAsia="Times New Roman" w:hAnsi="Calibri" w:cs="Calibri"/>
                <w:b/>
                <w:bCs/>
                <w:color w:val="FFFFFF"/>
                <w:sz w:val="22"/>
                <w:szCs w:val="22"/>
                <w:lang w:eastAsia="en-GB"/>
              </w:rPr>
            </w:pPr>
            <w:r w:rsidRPr="004B05C1">
              <w:rPr>
                <w:rFonts w:ascii="Calibri" w:eastAsia="Times New Roman" w:hAnsi="Calibri" w:cs="Calibri"/>
                <w:b/>
                <w:bCs/>
                <w:color w:val="FFFFFF"/>
                <w:sz w:val="22"/>
                <w:szCs w:val="22"/>
                <w:lang w:eastAsia="en-GB"/>
              </w:rPr>
              <w:t> </w:t>
            </w:r>
          </w:p>
        </w:tc>
        <w:tc>
          <w:tcPr>
            <w:tcW w:w="1290" w:type="dxa"/>
            <w:tcBorders>
              <w:top w:val="nil"/>
              <w:left w:val="nil"/>
              <w:bottom w:val="single" w:sz="8" w:space="0" w:color="auto"/>
              <w:right w:val="single" w:sz="4" w:space="0" w:color="auto"/>
            </w:tcBorders>
            <w:shd w:val="clear" w:color="000000" w:fill="000000"/>
            <w:noWrap/>
            <w:vAlign w:val="bottom"/>
            <w:hideMark/>
          </w:tcPr>
          <w:p w14:paraId="76A1AD92" w14:textId="77777777" w:rsidR="004B05C1" w:rsidRPr="004B05C1" w:rsidRDefault="004B05C1" w:rsidP="004B05C1">
            <w:pPr>
              <w:spacing w:before="0" w:after="0" w:line="240" w:lineRule="auto"/>
              <w:jc w:val="center"/>
              <w:rPr>
                <w:rFonts w:ascii="Calibri" w:eastAsia="Times New Roman" w:hAnsi="Calibri" w:cs="Calibri"/>
                <w:b/>
                <w:bCs/>
                <w:color w:val="FFFFFF"/>
                <w:sz w:val="22"/>
                <w:szCs w:val="22"/>
                <w:lang w:eastAsia="en-GB"/>
              </w:rPr>
            </w:pPr>
            <w:r w:rsidRPr="004B05C1">
              <w:rPr>
                <w:rFonts w:ascii="Calibri" w:eastAsia="Times New Roman" w:hAnsi="Calibri" w:cs="Calibri"/>
                <w:b/>
                <w:bCs/>
                <w:color w:val="FFFFFF"/>
                <w:sz w:val="22"/>
                <w:szCs w:val="22"/>
                <w:lang w:eastAsia="en-GB"/>
              </w:rPr>
              <w:t>24.1%</w:t>
            </w:r>
          </w:p>
        </w:tc>
        <w:tc>
          <w:tcPr>
            <w:tcW w:w="1569" w:type="dxa"/>
            <w:tcBorders>
              <w:top w:val="nil"/>
              <w:left w:val="nil"/>
              <w:bottom w:val="single" w:sz="8" w:space="0" w:color="auto"/>
              <w:right w:val="single" w:sz="4" w:space="0" w:color="auto"/>
            </w:tcBorders>
            <w:shd w:val="clear" w:color="000000" w:fill="000000"/>
            <w:noWrap/>
            <w:vAlign w:val="bottom"/>
            <w:hideMark/>
          </w:tcPr>
          <w:p w14:paraId="338CB898" w14:textId="77777777" w:rsidR="004B05C1" w:rsidRPr="004B05C1" w:rsidRDefault="004B05C1" w:rsidP="004B05C1">
            <w:pPr>
              <w:spacing w:before="0" w:after="0" w:line="240" w:lineRule="auto"/>
              <w:jc w:val="center"/>
              <w:rPr>
                <w:rFonts w:ascii="Calibri" w:eastAsia="Times New Roman" w:hAnsi="Calibri" w:cs="Calibri"/>
                <w:b/>
                <w:bCs/>
                <w:color w:val="FFFFFF"/>
                <w:sz w:val="22"/>
                <w:szCs w:val="22"/>
                <w:lang w:eastAsia="en-GB"/>
              </w:rPr>
            </w:pPr>
            <w:r w:rsidRPr="004B05C1">
              <w:rPr>
                <w:rFonts w:ascii="Calibri" w:eastAsia="Times New Roman" w:hAnsi="Calibri" w:cs="Calibri"/>
                <w:b/>
                <w:bCs/>
                <w:color w:val="FFFFFF"/>
                <w:sz w:val="22"/>
                <w:szCs w:val="22"/>
                <w:lang w:eastAsia="en-GB"/>
              </w:rPr>
              <w:t>3849</w:t>
            </w:r>
          </w:p>
        </w:tc>
        <w:tc>
          <w:tcPr>
            <w:tcW w:w="1301" w:type="dxa"/>
            <w:tcBorders>
              <w:top w:val="nil"/>
              <w:left w:val="nil"/>
              <w:bottom w:val="single" w:sz="8" w:space="0" w:color="auto"/>
              <w:right w:val="single" w:sz="4" w:space="0" w:color="auto"/>
            </w:tcBorders>
            <w:shd w:val="clear" w:color="000000" w:fill="000000"/>
            <w:noWrap/>
            <w:vAlign w:val="bottom"/>
            <w:hideMark/>
          </w:tcPr>
          <w:p w14:paraId="3892711E" w14:textId="77777777" w:rsidR="004B05C1" w:rsidRPr="004B05C1" w:rsidRDefault="004B05C1" w:rsidP="004B05C1">
            <w:pPr>
              <w:spacing w:before="0" w:after="0" w:line="240" w:lineRule="auto"/>
              <w:jc w:val="center"/>
              <w:rPr>
                <w:rFonts w:ascii="Calibri" w:eastAsia="Times New Roman" w:hAnsi="Calibri" w:cs="Calibri"/>
                <w:b/>
                <w:bCs/>
                <w:color w:val="FFFFFF"/>
                <w:sz w:val="22"/>
                <w:szCs w:val="22"/>
                <w:lang w:eastAsia="en-GB"/>
              </w:rPr>
            </w:pPr>
            <w:r w:rsidRPr="004B05C1">
              <w:rPr>
                <w:rFonts w:ascii="Calibri" w:eastAsia="Times New Roman" w:hAnsi="Calibri" w:cs="Calibri"/>
                <w:b/>
                <w:bCs/>
                <w:color w:val="FFFFFF"/>
                <w:sz w:val="22"/>
                <w:szCs w:val="22"/>
                <w:lang w:eastAsia="en-GB"/>
              </w:rPr>
              <w:t> </w:t>
            </w:r>
          </w:p>
        </w:tc>
        <w:tc>
          <w:tcPr>
            <w:tcW w:w="2372" w:type="dxa"/>
            <w:tcBorders>
              <w:top w:val="nil"/>
              <w:left w:val="nil"/>
              <w:bottom w:val="single" w:sz="8" w:space="0" w:color="auto"/>
              <w:right w:val="single" w:sz="8" w:space="0" w:color="auto"/>
            </w:tcBorders>
            <w:shd w:val="clear" w:color="000000" w:fill="000000"/>
            <w:noWrap/>
            <w:vAlign w:val="bottom"/>
            <w:hideMark/>
          </w:tcPr>
          <w:p w14:paraId="650A53D4" w14:textId="77777777" w:rsidR="004B05C1" w:rsidRPr="004B05C1" w:rsidRDefault="004B05C1" w:rsidP="004B05C1">
            <w:pPr>
              <w:spacing w:before="0" w:after="0" w:line="240" w:lineRule="auto"/>
              <w:jc w:val="center"/>
              <w:rPr>
                <w:rFonts w:ascii="Calibri" w:eastAsia="Times New Roman" w:hAnsi="Calibri" w:cs="Calibri"/>
                <w:b/>
                <w:bCs/>
                <w:color w:val="FFFFFF"/>
                <w:sz w:val="22"/>
                <w:szCs w:val="22"/>
                <w:lang w:eastAsia="en-GB"/>
              </w:rPr>
            </w:pPr>
            <w:r w:rsidRPr="004B05C1">
              <w:rPr>
                <w:rFonts w:ascii="Calibri" w:eastAsia="Times New Roman" w:hAnsi="Calibri" w:cs="Calibri"/>
                <w:b/>
                <w:bCs/>
                <w:color w:val="FFFFFF"/>
                <w:sz w:val="22"/>
                <w:szCs w:val="22"/>
                <w:lang w:eastAsia="en-GB"/>
              </w:rPr>
              <w:t>470</w:t>
            </w:r>
          </w:p>
        </w:tc>
      </w:tr>
    </w:tbl>
    <w:p w14:paraId="2FBFE7CC" w14:textId="77777777" w:rsidR="004B05C1" w:rsidRPr="004B05C1" w:rsidRDefault="004B05C1" w:rsidP="004B05C1"/>
    <w:p w14:paraId="39297BFB" w14:textId="77777777" w:rsidR="00792743" w:rsidRDefault="00792743" w:rsidP="002A5F5B">
      <w:pPr>
        <w:sectPr w:rsidR="00792743" w:rsidSect="00140B39">
          <w:pgSz w:w="23811" w:h="16838" w:orient="landscape" w:code="8"/>
          <w:pgMar w:top="1134" w:right="1134" w:bottom="1134" w:left="1134" w:header="709" w:footer="709" w:gutter="0"/>
          <w:cols w:space="708"/>
          <w:docGrid w:linePitch="360"/>
        </w:sectPr>
      </w:pPr>
    </w:p>
    <w:p w14:paraId="2279607D" w14:textId="3B8957CF" w:rsidR="00D5523A" w:rsidRDefault="00D5523A" w:rsidP="00D5523A">
      <w:pPr>
        <w:pStyle w:val="Heading2"/>
      </w:pPr>
      <w:r>
        <w:lastRenderedPageBreak/>
        <w:t xml:space="preserve">TABLE 3: SIMD2020 </w:t>
      </w:r>
      <w:r w:rsidR="005301FF">
        <w:t>Moray from a</w:t>
      </w:r>
      <w:r>
        <w:t xml:space="preserve"> National Perspective</w:t>
      </w:r>
    </w:p>
    <w:p w14:paraId="3F63B6A0" w14:textId="6B6CABFD" w:rsidR="00D5523A" w:rsidRDefault="00D5523A" w:rsidP="002A5F5B">
      <w:r>
        <w:t xml:space="preserve">SIMD2020 provides a ranking for all of Scotland’s 6,976 Data Zones, allowing for comparisons with other Scottish Local Authorities. Nationally, Moray is not seen as a deprived Local Authority as </w:t>
      </w:r>
      <w:proofErr w:type="gramStart"/>
      <w:r>
        <w:t>the majority of</w:t>
      </w:r>
      <w:proofErr w:type="gramEnd"/>
      <w:r>
        <w:t xml:space="preserve"> the population (51.8%) live in the 40% least deprived areas. In comparison, Scotland has </w:t>
      </w:r>
      <w:r w:rsidR="00767585">
        <w:t xml:space="preserve">a </w:t>
      </w:r>
      <w:r>
        <w:t xml:space="preserve">smaller proportion (41.2%) </w:t>
      </w:r>
      <w:r w:rsidR="0096760B">
        <w:t xml:space="preserve">living </w:t>
      </w:r>
      <w:r>
        <w:t>in the 40% least deprived areas. The colour coding in the in Table 3 provides a visual of highs and lows (Red – Green).</w:t>
      </w:r>
    </w:p>
    <w:p w14:paraId="5FF8CE52" w14:textId="2FC05669" w:rsidR="00792743" w:rsidRDefault="0025620C" w:rsidP="002A5F5B">
      <w:r>
        <w:t xml:space="preserve">From a national perspective, </w:t>
      </w:r>
      <w:r w:rsidR="007E7AB7">
        <w:t xml:space="preserve">7.8% of the 0-15 population </w:t>
      </w:r>
      <w:r>
        <w:t xml:space="preserve">in Moray </w:t>
      </w:r>
      <w:r w:rsidR="007E7AB7">
        <w:t xml:space="preserve">live in the </w:t>
      </w:r>
      <w:r w:rsidR="00D5523A">
        <w:t xml:space="preserve">30% </w:t>
      </w:r>
      <w:r w:rsidR="007E7AB7">
        <w:t>most deprived (Deciles 1-3)</w:t>
      </w:r>
      <w:r w:rsidR="00736EAF">
        <w:t xml:space="preserve"> </w:t>
      </w:r>
      <w:r w:rsidR="007E7AB7">
        <w:t>areas, yet 14.</w:t>
      </w:r>
      <w:r w:rsidR="005A500A">
        <w:t>5</w:t>
      </w:r>
      <w:r w:rsidR="007E7AB7">
        <w:t>% of all children in poverty live in these areas. In contrast</w:t>
      </w:r>
      <w:r w:rsidR="005A500A">
        <w:t>,</w:t>
      </w:r>
      <w:r w:rsidR="00736EAF">
        <w:t xml:space="preserve"> the</w:t>
      </w:r>
      <w:r w:rsidR="00D5523A">
        <w:t xml:space="preserve"> 30%</w:t>
      </w:r>
      <w:r w:rsidR="00736EAF">
        <w:t xml:space="preserve"> least deprived of areas (Deciles 8-10) have almost four times more children but 16.2% of all children living in poverty</w:t>
      </w:r>
      <w:r w:rsidR="00B01A38">
        <w:t xml:space="preserve">, </w:t>
      </w:r>
      <w:r w:rsidR="00736EAF">
        <w:t>evidenc</w:t>
      </w:r>
      <w:r w:rsidR="00B01A38">
        <w:t>ing</w:t>
      </w:r>
      <w:r w:rsidR="00736EAF">
        <w:t xml:space="preserve"> the strong linkages between deprivation and poverty.</w:t>
      </w:r>
      <w:r w:rsidR="00CA4050">
        <w:t xml:space="preserve"> Although poverty density is higher in the most deprived areas</w:t>
      </w:r>
      <w:r w:rsidR="00B546E5">
        <w:t>,</w:t>
      </w:r>
      <w:r w:rsidR="00CA4050">
        <w:t xml:space="preserve"> the vast majority (85.</w:t>
      </w:r>
      <w:r w:rsidR="005A500A">
        <w:t>5</w:t>
      </w:r>
      <w:r w:rsidR="00CA4050">
        <w:t xml:space="preserve">%) of children in poverty live </w:t>
      </w:r>
      <w:r w:rsidR="0096760B">
        <w:t>out with</w:t>
      </w:r>
      <w:r w:rsidR="00CA4050">
        <w:t xml:space="preserve"> the most deprived areas. </w:t>
      </w:r>
      <w:r w:rsidR="00D5523A">
        <w:t>This would appear to beg the</w:t>
      </w:r>
      <w:r w:rsidR="00CA4050">
        <w:t xml:space="preserve"> question as to whether it is better to direct resources to areas with the highest need but with the smallest proportion</w:t>
      </w:r>
      <w:r w:rsidR="00B546E5">
        <w:t xml:space="preserve"> of children</w:t>
      </w:r>
      <w:r w:rsidR="005A500A">
        <w:t xml:space="preserve"> in poverty</w:t>
      </w:r>
      <w:r w:rsidR="00B546E5">
        <w:t xml:space="preserve"> or</w:t>
      </w:r>
      <w:r w:rsidR="005A500A">
        <w:t>,</w:t>
      </w:r>
      <w:r w:rsidR="00CA4050">
        <w:t xml:space="preserve"> direct the same resources more widely </w:t>
      </w:r>
      <w:r w:rsidR="00B546E5">
        <w:t xml:space="preserve">to mitigate poverty for </w:t>
      </w:r>
      <w:proofErr w:type="gramStart"/>
      <w:r w:rsidR="00B546E5">
        <w:t>the vast majority of</w:t>
      </w:r>
      <w:proofErr w:type="gramEnd"/>
      <w:r w:rsidR="00B546E5">
        <w:t xml:space="preserve"> </w:t>
      </w:r>
      <w:r w:rsidR="005A500A">
        <w:t>children</w:t>
      </w:r>
      <w:r w:rsidR="00B546E5">
        <w:t>.</w:t>
      </w:r>
      <w:r w:rsidR="005301FF">
        <w:t xml:space="preserve"> It doesn’t however show </w:t>
      </w:r>
      <w:r w:rsidR="0096760B">
        <w:t xml:space="preserve">what </w:t>
      </w:r>
      <w:r w:rsidR="005301FF">
        <w:t>Moray looks like internally.</w:t>
      </w:r>
    </w:p>
    <w:p w14:paraId="08FC1C3E" w14:textId="4C3E4AEB" w:rsidR="00792743" w:rsidRDefault="00792743" w:rsidP="00792743">
      <w:pPr>
        <w:pStyle w:val="Caption"/>
        <w:keepNext/>
        <w:spacing w:after="0"/>
      </w:pPr>
      <w:r>
        <w:t xml:space="preserve">Table </w:t>
      </w:r>
      <w:r>
        <w:fldChar w:fldCharType="begin"/>
      </w:r>
      <w:r>
        <w:instrText xml:space="preserve"> SEQ Table \* ARABIC </w:instrText>
      </w:r>
      <w:r>
        <w:fldChar w:fldCharType="separate"/>
      </w:r>
      <w:r w:rsidR="001A5241">
        <w:rPr>
          <w:noProof/>
        </w:rPr>
        <w:t>3</w:t>
      </w:r>
      <w:r>
        <w:fldChar w:fldCharType="end"/>
      </w:r>
      <w:r>
        <w:t xml:space="preserve"> -Population and child poverty by SIMD2020 Decile</w:t>
      </w:r>
      <w:r w:rsidR="005D4EEE">
        <w:t xml:space="preserve"> (National Rankings)</w:t>
      </w:r>
    </w:p>
    <w:tbl>
      <w:tblPr>
        <w:tblW w:w="9629" w:type="dxa"/>
        <w:tblInd w:w="-10" w:type="dxa"/>
        <w:tblLook w:val="04A0" w:firstRow="1" w:lastRow="0" w:firstColumn="1" w:lastColumn="0" w:noHBand="0" w:noVBand="1"/>
      </w:tblPr>
      <w:tblGrid>
        <w:gridCol w:w="841"/>
        <w:gridCol w:w="1276"/>
        <w:gridCol w:w="1462"/>
        <w:gridCol w:w="1280"/>
        <w:gridCol w:w="1368"/>
        <w:gridCol w:w="1701"/>
        <w:gridCol w:w="1701"/>
      </w:tblGrid>
      <w:tr w:rsidR="001C74F3" w:rsidRPr="001C74F3" w14:paraId="465F876C" w14:textId="77777777" w:rsidTr="00091692">
        <w:trPr>
          <w:trHeight w:val="383"/>
        </w:trPr>
        <w:tc>
          <w:tcPr>
            <w:tcW w:w="9629" w:type="dxa"/>
            <w:gridSpan w:val="7"/>
            <w:tcBorders>
              <w:top w:val="single" w:sz="8" w:space="0" w:color="auto"/>
              <w:left w:val="single" w:sz="8" w:space="0" w:color="auto"/>
              <w:bottom w:val="single" w:sz="8" w:space="0" w:color="auto"/>
              <w:right w:val="single" w:sz="8" w:space="0" w:color="000000"/>
            </w:tcBorders>
            <w:shd w:val="clear" w:color="000000" w:fill="16365C"/>
            <w:noWrap/>
            <w:vAlign w:val="center"/>
            <w:hideMark/>
          </w:tcPr>
          <w:p w14:paraId="38D10953" w14:textId="77777777" w:rsidR="001C74F3" w:rsidRPr="001C74F3" w:rsidRDefault="001C74F3" w:rsidP="001C74F3">
            <w:pPr>
              <w:spacing w:before="0" w:after="0" w:line="240" w:lineRule="auto"/>
              <w:rPr>
                <w:rFonts w:ascii="Calibri" w:eastAsia="Times New Roman" w:hAnsi="Calibri" w:cs="Calibri"/>
                <w:b/>
                <w:bCs/>
                <w:color w:val="FFFFFF"/>
                <w:sz w:val="22"/>
                <w:szCs w:val="22"/>
                <w:lang w:eastAsia="en-GB"/>
              </w:rPr>
            </w:pPr>
            <w:r w:rsidRPr="001C74F3">
              <w:rPr>
                <w:rFonts w:ascii="Calibri" w:eastAsia="Times New Roman" w:hAnsi="Calibri" w:cs="Calibri"/>
                <w:b/>
                <w:bCs/>
                <w:color w:val="FFFFFF"/>
                <w:sz w:val="22"/>
                <w:szCs w:val="22"/>
                <w:lang w:eastAsia="en-GB"/>
              </w:rPr>
              <w:t>POPULATION DATA BY SIMD2020 DECILE (1= MOST DEPRIVED, 10= LEAST DEPRIVED)</w:t>
            </w:r>
          </w:p>
        </w:tc>
      </w:tr>
      <w:tr w:rsidR="001C74F3" w:rsidRPr="001C74F3" w14:paraId="2C715896" w14:textId="77777777" w:rsidTr="00091692">
        <w:trPr>
          <w:trHeight w:val="1253"/>
        </w:trPr>
        <w:tc>
          <w:tcPr>
            <w:tcW w:w="841" w:type="dxa"/>
            <w:tcBorders>
              <w:top w:val="nil"/>
              <w:left w:val="single" w:sz="8" w:space="0" w:color="auto"/>
              <w:bottom w:val="single" w:sz="4" w:space="0" w:color="auto"/>
              <w:right w:val="single" w:sz="4" w:space="0" w:color="auto"/>
            </w:tcBorders>
            <w:shd w:val="clear" w:color="000000" w:fill="DCE6F1"/>
            <w:vAlign w:val="bottom"/>
            <w:hideMark/>
          </w:tcPr>
          <w:p w14:paraId="59DB2502" w14:textId="77777777" w:rsidR="001C74F3" w:rsidRPr="001C74F3" w:rsidRDefault="001C74F3" w:rsidP="001C74F3">
            <w:pPr>
              <w:spacing w:before="0" w:after="0" w:line="240" w:lineRule="auto"/>
              <w:jc w:val="center"/>
              <w:rPr>
                <w:rFonts w:eastAsia="Times New Roman" w:cstheme="minorHAnsi"/>
                <w:b/>
                <w:bCs/>
                <w:color w:val="000000"/>
                <w:lang w:eastAsia="en-GB"/>
              </w:rPr>
            </w:pPr>
            <w:r w:rsidRPr="001C74F3">
              <w:rPr>
                <w:rFonts w:eastAsia="Times New Roman" w:cstheme="minorHAnsi"/>
                <w:b/>
                <w:bCs/>
                <w:color w:val="000000"/>
                <w:lang w:eastAsia="en-GB"/>
              </w:rPr>
              <w:t>SIMD DECILE</w:t>
            </w:r>
          </w:p>
        </w:tc>
        <w:tc>
          <w:tcPr>
            <w:tcW w:w="1276" w:type="dxa"/>
            <w:tcBorders>
              <w:top w:val="nil"/>
              <w:left w:val="nil"/>
              <w:bottom w:val="single" w:sz="4" w:space="0" w:color="auto"/>
              <w:right w:val="single" w:sz="4" w:space="0" w:color="auto"/>
            </w:tcBorders>
            <w:shd w:val="clear" w:color="000000" w:fill="DCE6F1"/>
            <w:vAlign w:val="bottom"/>
            <w:hideMark/>
          </w:tcPr>
          <w:p w14:paraId="47279159" w14:textId="77777777" w:rsidR="001C74F3" w:rsidRPr="001C74F3" w:rsidRDefault="001C74F3" w:rsidP="001C74F3">
            <w:pPr>
              <w:spacing w:before="0" w:after="0" w:line="240" w:lineRule="auto"/>
              <w:jc w:val="center"/>
              <w:rPr>
                <w:rFonts w:eastAsia="Times New Roman" w:cstheme="minorHAnsi"/>
                <w:b/>
                <w:bCs/>
                <w:color w:val="000000"/>
                <w:lang w:eastAsia="en-GB"/>
              </w:rPr>
            </w:pPr>
            <w:r w:rsidRPr="001C74F3">
              <w:rPr>
                <w:rFonts w:eastAsia="Times New Roman" w:cstheme="minorHAnsi"/>
                <w:b/>
                <w:bCs/>
                <w:color w:val="000000"/>
                <w:lang w:eastAsia="en-GB"/>
              </w:rPr>
              <w:t>% of DATAZONES</w:t>
            </w:r>
          </w:p>
        </w:tc>
        <w:tc>
          <w:tcPr>
            <w:tcW w:w="1462" w:type="dxa"/>
            <w:tcBorders>
              <w:top w:val="nil"/>
              <w:left w:val="nil"/>
              <w:bottom w:val="single" w:sz="4" w:space="0" w:color="auto"/>
              <w:right w:val="single" w:sz="4" w:space="0" w:color="auto"/>
            </w:tcBorders>
            <w:shd w:val="clear" w:color="000000" w:fill="DCE6F1"/>
            <w:vAlign w:val="bottom"/>
            <w:hideMark/>
          </w:tcPr>
          <w:p w14:paraId="53FFD215" w14:textId="77777777" w:rsidR="001C74F3" w:rsidRPr="001C74F3" w:rsidRDefault="001C74F3" w:rsidP="001C74F3">
            <w:pPr>
              <w:spacing w:before="0" w:after="0" w:line="240" w:lineRule="auto"/>
              <w:jc w:val="center"/>
              <w:rPr>
                <w:rFonts w:eastAsia="Times New Roman" w:cstheme="minorHAnsi"/>
                <w:b/>
                <w:bCs/>
                <w:color w:val="000000"/>
                <w:lang w:eastAsia="en-GB"/>
              </w:rPr>
            </w:pPr>
            <w:r w:rsidRPr="001C74F3">
              <w:rPr>
                <w:rFonts w:eastAsia="Times New Roman" w:cstheme="minorHAnsi"/>
                <w:b/>
                <w:bCs/>
                <w:color w:val="000000"/>
                <w:lang w:eastAsia="en-GB"/>
              </w:rPr>
              <w:t>% of POPULATION</w:t>
            </w:r>
          </w:p>
        </w:tc>
        <w:tc>
          <w:tcPr>
            <w:tcW w:w="1280" w:type="dxa"/>
            <w:tcBorders>
              <w:top w:val="nil"/>
              <w:left w:val="nil"/>
              <w:bottom w:val="single" w:sz="4" w:space="0" w:color="auto"/>
              <w:right w:val="single" w:sz="4" w:space="0" w:color="auto"/>
            </w:tcBorders>
            <w:shd w:val="clear" w:color="000000" w:fill="DCE6F1"/>
            <w:vAlign w:val="bottom"/>
            <w:hideMark/>
          </w:tcPr>
          <w:p w14:paraId="182B45CD" w14:textId="77777777" w:rsidR="001C74F3" w:rsidRPr="001C74F3" w:rsidRDefault="001C74F3" w:rsidP="001C74F3">
            <w:pPr>
              <w:spacing w:before="0" w:after="0" w:line="240" w:lineRule="auto"/>
              <w:jc w:val="center"/>
              <w:rPr>
                <w:rFonts w:eastAsia="Times New Roman" w:cstheme="minorHAnsi"/>
                <w:b/>
                <w:bCs/>
                <w:color w:val="000000"/>
                <w:lang w:eastAsia="en-GB"/>
              </w:rPr>
            </w:pPr>
            <w:r w:rsidRPr="001C74F3">
              <w:rPr>
                <w:rFonts w:eastAsia="Times New Roman" w:cstheme="minorHAnsi"/>
                <w:b/>
                <w:bCs/>
                <w:color w:val="000000"/>
                <w:lang w:eastAsia="en-GB"/>
              </w:rPr>
              <w:t>% of 0-15 (OVERALL) population</w:t>
            </w:r>
          </w:p>
        </w:tc>
        <w:tc>
          <w:tcPr>
            <w:tcW w:w="1368" w:type="dxa"/>
            <w:tcBorders>
              <w:top w:val="nil"/>
              <w:left w:val="nil"/>
              <w:bottom w:val="single" w:sz="4" w:space="0" w:color="auto"/>
              <w:right w:val="single" w:sz="4" w:space="0" w:color="auto"/>
            </w:tcBorders>
            <w:shd w:val="clear" w:color="000000" w:fill="DCE6F1"/>
            <w:vAlign w:val="bottom"/>
            <w:hideMark/>
          </w:tcPr>
          <w:p w14:paraId="4F21789A" w14:textId="77777777" w:rsidR="001C74F3" w:rsidRPr="001C74F3" w:rsidRDefault="001C74F3" w:rsidP="001C74F3">
            <w:pPr>
              <w:spacing w:before="0" w:after="0" w:line="240" w:lineRule="auto"/>
              <w:jc w:val="center"/>
              <w:rPr>
                <w:rFonts w:eastAsia="Times New Roman" w:cstheme="minorHAnsi"/>
                <w:b/>
                <w:bCs/>
                <w:color w:val="000000"/>
                <w:lang w:eastAsia="en-GB"/>
              </w:rPr>
            </w:pPr>
            <w:r w:rsidRPr="001C74F3">
              <w:rPr>
                <w:rFonts w:eastAsia="Times New Roman" w:cstheme="minorHAnsi"/>
                <w:b/>
                <w:bCs/>
                <w:color w:val="000000"/>
                <w:lang w:eastAsia="en-GB"/>
              </w:rPr>
              <w:t>% of 0-15 (DECILE) population)</w:t>
            </w:r>
          </w:p>
        </w:tc>
        <w:tc>
          <w:tcPr>
            <w:tcW w:w="1701" w:type="dxa"/>
            <w:tcBorders>
              <w:top w:val="nil"/>
              <w:left w:val="nil"/>
              <w:bottom w:val="single" w:sz="4" w:space="0" w:color="auto"/>
              <w:right w:val="single" w:sz="4" w:space="0" w:color="auto"/>
            </w:tcBorders>
            <w:shd w:val="clear" w:color="000000" w:fill="DCE6F1"/>
            <w:vAlign w:val="bottom"/>
            <w:hideMark/>
          </w:tcPr>
          <w:p w14:paraId="521C8F73" w14:textId="77777777" w:rsidR="001C74F3" w:rsidRPr="001C74F3" w:rsidRDefault="001C74F3" w:rsidP="001C74F3">
            <w:pPr>
              <w:spacing w:before="0" w:after="0" w:line="240" w:lineRule="auto"/>
              <w:jc w:val="center"/>
              <w:rPr>
                <w:rFonts w:eastAsia="Times New Roman" w:cstheme="minorHAnsi"/>
                <w:b/>
                <w:bCs/>
                <w:color w:val="000000"/>
                <w:lang w:eastAsia="en-GB"/>
              </w:rPr>
            </w:pPr>
            <w:r w:rsidRPr="001C74F3">
              <w:rPr>
                <w:rFonts w:eastAsia="Times New Roman" w:cstheme="minorHAnsi"/>
                <w:b/>
                <w:bCs/>
                <w:color w:val="000000"/>
                <w:lang w:eastAsia="en-GB"/>
              </w:rPr>
              <w:t>Estimated number of Children (0-15) in Relative Child Poverty 2021/22</w:t>
            </w:r>
          </w:p>
        </w:tc>
        <w:tc>
          <w:tcPr>
            <w:tcW w:w="1701" w:type="dxa"/>
            <w:tcBorders>
              <w:top w:val="nil"/>
              <w:left w:val="nil"/>
              <w:bottom w:val="single" w:sz="4" w:space="0" w:color="auto"/>
              <w:right w:val="single" w:sz="8" w:space="0" w:color="auto"/>
            </w:tcBorders>
            <w:shd w:val="clear" w:color="000000" w:fill="16365C"/>
            <w:vAlign w:val="bottom"/>
            <w:hideMark/>
          </w:tcPr>
          <w:p w14:paraId="2CB81103" w14:textId="77777777" w:rsidR="001C74F3" w:rsidRPr="001C74F3" w:rsidRDefault="001C74F3" w:rsidP="001C74F3">
            <w:pPr>
              <w:spacing w:before="0" w:after="0" w:line="240" w:lineRule="auto"/>
              <w:jc w:val="center"/>
              <w:rPr>
                <w:rFonts w:eastAsia="Times New Roman" w:cstheme="minorHAnsi"/>
                <w:b/>
                <w:bCs/>
                <w:color w:val="FFFFFF"/>
                <w:lang w:eastAsia="en-GB"/>
              </w:rPr>
            </w:pPr>
            <w:r w:rsidRPr="001C74F3">
              <w:rPr>
                <w:rFonts w:eastAsia="Times New Roman" w:cstheme="minorHAnsi"/>
                <w:b/>
                <w:bCs/>
                <w:color w:val="FFFFFF"/>
                <w:lang w:eastAsia="en-GB"/>
              </w:rPr>
              <w:t>% Estimated Relative Child Poverty by SIMD Decile 2021/22</w:t>
            </w:r>
          </w:p>
        </w:tc>
      </w:tr>
      <w:tr w:rsidR="001C74F3" w:rsidRPr="001C74F3" w14:paraId="032CA671" w14:textId="77777777" w:rsidTr="00091692">
        <w:trPr>
          <w:trHeight w:val="285"/>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14:paraId="13604AB0"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1</w:t>
            </w:r>
          </w:p>
        </w:tc>
        <w:tc>
          <w:tcPr>
            <w:tcW w:w="1276"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701DED65"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0.8%</w:t>
            </w:r>
          </w:p>
        </w:tc>
        <w:tc>
          <w:tcPr>
            <w:tcW w:w="1462"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47292304"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0.7%</w:t>
            </w:r>
          </w:p>
        </w:tc>
        <w:tc>
          <w:tcPr>
            <w:tcW w:w="1280"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10313CE1"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1.0%</w:t>
            </w:r>
          </w:p>
        </w:tc>
        <w:tc>
          <w:tcPr>
            <w:tcW w:w="1368"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4BF930D8"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24.8%</w:t>
            </w:r>
          </w:p>
        </w:tc>
        <w:tc>
          <w:tcPr>
            <w:tcW w:w="1701"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31D3B5A5"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65</w:t>
            </w:r>
          </w:p>
        </w:tc>
        <w:tc>
          <w:tcPr>
            <w:tcW w:w="1701" w:type="dxa"/>
            <w:tcBorders>
              <w:top w:val="single" w:sz="4" w:space="0" w:color="auto"/>
              <w:left w:val="single" w:sz="4" w:space="0" w:color="auto"/>
              <w:bottom w:val="single" w:sz="4" w:space="0" w:color="auto"/>
              <w:right w:val="single" w:sz="8" w:space="0" w:color="auto"/>
            </w:tcBorders>
            <w:shd w:val="clear" w:color="000000" w:fill="FB9C75"/>
            <w:noWrap/>
            <w:vAlign w:val="bottom"/>
            <w:hideMark/>
          </w:tcPr>
          <w:p w14:paraId="21EC595A"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39.9%</w:t>
            </w:r>
          </w:p>
        </w:tc>
      </w:tr>
      <w:tr w:rsidR="001C74F3" w:rsidRPr="001C74F3" w14:paraId="1FBDB95F" w14:textId="77777777" w:rsidTr="00091692">
        <w:trPr>
          <w:trHeight w:val="285"/>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14:paraId="62FA013C"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2</w:t>
            </w:r>
          </w:p>
        </w:tc>
        <w:tc>
          <w:tcPr>
            <w:tcW w:w="1276" w:type="dxa"/>
            <w:tcBorders>
              <w:top w:val="single" w:sz="4" w:space="0" w:color="auto"/>
              <w:left w:val="single" w:sz="4" w:space="0" w:color="auto"/>
              <w:bottom w:val="single" w:sz="4" w:space="0" w:color="auto"/>
              <w:right w:val="single" w:sz="4" w:space="0" w:color="auto"/>
            </w:tcBorders>
            <w:shd w:val="clear" w:color="000000" w:fill="82C77C"/>
            <w:noWrap/>
            <w:vAlign w:val="bottom"/>
            <w:hideMark/>
          </w:tcPr>
          <w:p w14:paraId="2C0E3FE1"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2.4%</w:t>
            </w:r>
          </w:p>
        </w:tc>
        <w:tc>
          <w:tcPr>
            <w:tcW w:w="1462" w:type="dxa"/>
            <w:tcBorders>
              <w:top w:val="single" w:sz="4" w:space="0" w:color="auto"/>
              <w:left w:val="single" w:sz="4" w:space="0" w:color="auto"/>
              <w:bottom w:val="single" w:sz="4" w:space="0" w:color="auto"/>
              <w:right w:val="single" w:sz="4" w:space="0" w:color="auto"/>
            </w:tcBorders>
            <w:shd w:val="clear" w:color="000000" w:fill="7EC57C"/>
            <w:noWrap/>
            <w:vAlign w:val="bottom"/>
            <w:hideMark/>
          </w:tcPr>
          <w:p w14:paraId="39B5667E"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2.0%</w:t>
            </w:r>
          </w:p>
        </w:tc>
        <w:tc>
          <w:tcPr>
            <w:tcW w:w="1280" w:type="dxa"/>
            <w:tcBorders>
              <w:top w:val="single" w:sz="4" w:space="0" w:color="auto"/>
              <w:left w:val="single" w:sz="4" w:space="0" w:color="auto"/>
              <w:bottom w:val="single" w:sz="4" w:space="0" w:color="auto"/>
              <w:right w:val="single" w:sz="4" w:space="0" w:color="auto"/>
            </w:tcBorders>
            <w:shd w:val="clear" w:color="000000" w:fill="7BC57C"/>
            <w:noWrap/>
            <w:vAlign w:val="bottom"/>
            <w:hideMark/>
          </w:tcPr>
          <w:p w14:paraId="7F29BBBF"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2.2%</w:t>
            </w:r>
          </w:p>
        </w:tc>
        <w:tc>
          <w:tcPr>
            <w:tcW w:w="1368" w:type="dxa"/>
            <w:tcBorders>
              <w:top w:val="single" w:sz="4" w:space="0" w:color="auto"/>
              <w:left w:val="single" w:sz="4" w:space="0" w:color="auto"/>
              <w:bottom w:val="single" w:sz="4" w:space="0" w:color="auto"/>
              <w:right w:val="single" w:sz="4" w:space="0" w:color="auto"/>
            </w:tcBorders>
            <w:shd w:val="clear" w:color="000000" w:fill="FED07F"/>
            <w:noWrap/>
            <w:vAlign w:val="bottom"/>
            <w:hideMark/>
          </w:tcPr>
          <w:p w14:paraId="7F1495A1"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18.3%</w:t>
            </w:r>
          </w:p>
        </w:tc>
        <w:tc>
          <w:tcPr>
            <w:tcW w:w="1701" w:type="dxa"/>
            <w:tcBorders>
              <w:top w:val="single" w:sz="4" w:space="0" w:color="auto"/>
              <w:left w:val="single" w:sz="4" w:space="0" w:color="auto"/>
              <w:bottom w:val="single" w:sz="4" w:space="0" w:color="auto"/>
              <w:right w:val="single" w:sz="4" w:space="0" w:color="auto"/>
            </w:tcBorders>
            <w:shd w:val="clear" w:color="000000" w:fill="94CC7D"/>
            <w:noWrap/>
            <w:vAlign w:val="bottom"/>
            <w:hideMark/>
          </w:tcPr>
          <w:p w14:paraId="53BD3C72"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166</w:t>
            </w:r>
          </w:p>
        </w:tc>
        <w:tc>
          <w:tcPr>
            <w:tcW w:w="1701" w:type="dxa"/>
            <w:tcBorders>
              <w:top w:val="single" w:sz="4" w:space="0" w:color="auto"/>
              <w:left w:val="single" w:sz="4" w:space="0" w:color="auto"/>
              <w:bottom w:val="single" w:sz="4" w:space="0" w:color="auto"/>
              <w:right w:val="single" w:sz="8" w:space="0" w:color="auto"/>
            </w:tcBorders>
            <w:shd w:val="clear" w:color="000000" w:fill="F8696B"/>
            <w:noWrap/>
            <w:vAlign w:val="bottom"/>
            <w:hideMark/>
          </w:tcPr>
          <w:p w14:paraId="1DC4BE1A"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47.3%</w:t>
            </w:r>
          </w:p>
        </w:tc>
      </w:tr>
      <w:tr w:rsidR="001C74F3" w:rsidRPr="001C74F3" w14:paraId="55288CD9" w14:textId="77777777" w:rsidTr="00091692">
        <w:trPr>
          <w:trHeight w:val="285"/>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14:paraId="4C7D47C1"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3</w:t>
            </w:r>
          </w:p>
        </w:tc>
        <w:tc>
          <w:tcPr>
            <w:tcW w:w="1276" w:type="dxa"/>
            <w:tcBorders>
              <w:top w:val="single" w:sz="4" w:space="0" w:color="auto"/>
              <w:left w:val="single" w:sz="4" w:space="0" w:color="auto"/>
              <w:bottom w:val="single" w:sz="4" w:space="0" w:color="auto"/>
              <w:right w:val="single" w:sz="4" w:space="0" w:color="auto"/>
            </w:tcBorders>
            <w:shd w:val="clear" w:color="000000" w:fill="C0D980"/>
            <w:noWrap/>
            <w:vAlign w:val="bottom"/>
            <w:hideMark/>
          </w:tcPr>
          <w:p w14:paraId="7D369392"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5.6%</w:t>
            </w:r>
          </w:p>
        </w:tc>
        <w:tc>
          <w:tcPr>
            <w:tcW w:w="1462" w:type="dxa"/>
            <w:tcBorders>
              <w:top w:val="single" w:sz="4" w:space="0" w:color="auto"/>
              <w:left w:val="single" w:sz="4" w:space="0" w:color="auto"/>
              <w:bottom w:val="single" w:sz="4" w:space="0" w:color="auto"/>
              <w:right w:val="single" w:sz="4" w:space="0" w:color="auto"/>
            </w:tcBorders>
            <w:shd w:val="clear" w:color="000000" w:fill="B5D57F"/>
            <w:noWrap/>
            <w:vAlign w:val="bottom"/>
            <w:hideMark/>
          </w:tcPr>
          <w:p w14:paraId="31C84DCA"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4.6%</w:t>
            </w:r>
          </w:p>
        </w:tc>
        <w:tc>
          <w:tcPr>
            <w:tcW w:w="1280" w:type="dxa"/>
            <w:tcBorders>
              <w:top w:val="single" w:sz="4" w:space="0" w:color="auto"/>
              <w:left w:val="single" w:sz="4" w:space="0" w:color="auto"/>
              <w:bottom w:val="single" w:sz="4" w:space="0" w:color="auto"/>
              <w:right w:val="single" w:sz="4" w:space="0" w:color="auto"/>
            </w:tcBorders>
            <w:shd w:val="clear" w:color="000000" w:fill="AED37F"/>
            <w:noWrap/>
            <w:vAlign w:val="bottom"/>
            <w:hideMark/>
          </w:tcPr>
          <w:p w14:paraId="6C5CFAB3"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4.6%</w:t>
            </w:r>
          </w:p>
        </w:tc>
        <w:tc>
          <w:tcPr>
            <w:tcW w:w="1368"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14:paraId="460A8755"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16.5%</w:t>
            </w:r>
          </w:p>
        </w:tc>
        <w:tc>
          <w:tcPr>
            <w:tcW w:w="1701" w:type="dxa"/>
            <w:tcBorders>
              <w:top w:val="single" w:sz="4" w:space="0" w:color="auto"/>
              <w:left w:val="single" w:sz="4" w:space="0" w:color="auto"/>
              <w:bottom w:val="single" w:sz="4" w:space="0" w:color="auto"/>
              <w:right w:val="single" w:sz="4" w:space="0" w:color="auto"/>
            </w:tcBorders>
            <w:shd w:val="clear" w:color="000000" w:fill="E4E382"/>
            <w:noWrap/>
            <w:vAlign w:val="bottom"/>
            <w:hideMark/>
          </w:tcPr>
          <w:p w14:paraId="1CF6ADB5"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328</w:t>
            </w:r>
          </w:p>
        </w:tc>
        <w:tc>
          <w:tcPr>
            <w:tcW w:w="1701" w:type="dxa"/>
            <w:tcBorders>
              <w:top w:val="single" w:sz="4" w:space="0" w:color="auto"/>
              <w:left w:val="single" w:sz="4" w:space="0" w:color="auto"/>
              <w:bottom w:val="single" w:sz="4" w:space="0" w:color="auto"/>
              <w:right w:val="single" w:sz="8" w:space="0" w:color="auto"/>
            </w:tcBorders>
            <w:shd w:val="clear" w:color="000000" w:fill="F97B6F"/>
            <w:noWrap/>
            <w:vAlign w:val="bottom"/>
            <w:hideMark/>
          </w:tcPr>
          <w:p w14:paraId="3E72CCD3"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44.8%</w:t>
            </w:r>
          </w:p>
        </w:tc>
      </w:tr>
      <w:tr w:rsidR="001C74F3" w:rsidRPr="001C74F3" w14:paraId="50736ACE" w14:textId="77777777" w:rsidTr="00091692">
        <w:trPr>
          <w:trHeight w:val="285"/>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14:paraId="0FB044A4"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4</w:t>
            </w:r>
          </w:p>
        </w:tc>
        <w:tc>
          <w:tcPr>
            <w:tcW w:w="1276" w:type="dxa"/>
            <w:tcBorders>
              <w:top w:val="single" w:sz="4" w:space="0" w:color="auto"/>
              <w:left w:val="single" w:sz="4" w:space="0" w:color="auto"/>
              <w:bottom w:val="single" w:sz="4" w:space="0" w:color="auto"/>
              <w:right w:val="single" w:sz="4" w:space="0" w:color="auto"/>
            </w:tcBorders>
            <w:shd w:val="clear" w:color="000000" w:fill="FED580"/>
            <w:noWrap/>
            <w:vAlign w:val="bottom"/>
            <w:hideMark/>
          </w:tcPr>
          <w:p w14:paraId="7845F8F4"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11.1%</w:t>
            </w:r>
          </w:p>
        </w:tc>
        <w:tc>
          <w:tcPr>
            <w:tcW w:w="1462" w:type="dxa"/>
            <w:tcBorders>
              <w:top w:val="single" w:sz="4" w:space="0" w:color="auto"/>
              <w:left w:val="single" w:sz="4" w:space="0" w:color="auto"/>
              <w:bottom w:val="single" w:sz="4" w:space="0" w:color="auto"/>
              <w:right w:val="single" w:sz="4" w:space="0" w:color="auto"/>
            </w:tcBorders>
            <w:shd w:val="clear" w:color="000000" w:fill="FFDF82"/>
            <w:noWrap/>
            <w:vAlign w:val="bottom"/>
            <w:hideMark/>
          </w:tcPr>
          <w:p w14:paraId="2F6C9D61"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9.2%</w:t>
            </w:r>
          </w:p>
        </w:tc>
        <w:tc>
          <w:tcPr>
            <w:tcW w:w="1280" w:type="dxa"/>
            <w:tcBorders>
              <w:top w:val="single" w:sz="4" w:space="0" w:color="auto"/>
              <w:left w:val="single" w:sz="4" w:space="0" w:color="auto"/>
              <w:bottom w:val="single" w:sz="4" w:space="0" w:color="auto"/>
              <w:right w:val="single" w:sz="4" w:space="0" w:color="auto"/>
            </w:tcBorders>
            <w:shd w:val="clear" w:color="000000" w:fill="FED981"/>
            <w:noWrap/>
            <w:vAlign w:val="bottom"/>
            <w:hideMark/>
          </w:tcPr>
          <w:p w14:paraId="74DE6C13"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10.1%</w:t>
            </w:r>
          </w:p>
        </w:tc>
        <w:tc>
          <w:tcPr>
            <w:tcW w:w="1368" w:type="dxa"/>
            <w:tcBorders>
              <w:top w:val="single" w:sz="4" w:space="0" w:color="auto"/>
              <w:left w:val="single" w:sz="4" w:space="0" w:color="auto"/>
              <w:bottom w:val="single" w:sz="4" w:space="0" w:color="auto"/>
              <w:right w:val="single" w:sz="4" w:space="0" w:color="auto"/>
            </w:tcBorders>
            <w:shd w:val="clear" w:color="000000" w:fill="FED280"/>
            <w:noWrap/>
            <w:vAlign w:val="bottom"/>
            <w:hideMark/>
          </w:tcPr>
          <w:p w14:paraId="13E50CF1"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18.1%</w:t>
            </w:r>
          </w:p>
        </w:tc>
        <w:tc>
          <w:tcPr>
            <w:tcW w:w="1701" w:type="dxa"/>
            <w:tcBorders>
              <w:top w:val="single" w:sz="4" w:space="0" w:color="auto"/>
              <w:left w:val="single" w:sz="4" w:space="0" w:color="auto"/>
              <w:bottom w:val="single" w:sz="4" w:space="0" w:color="auto"/>
              <w:right w:val="single" w:sz="4" w:space="0" w:color="auto"/>
            </w:tcBorders>
            <w:shd w:val="clear" w:color="000000" w:fill="FCA577"/>
            <w:noWrap/>
            <w:vAlign w:val="bottom"/>
            <w:hideMark/>
          </w:tcPr>
          <w:p w14:paraId="552E2CBA"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585</w:t>
            </w:r>
          </w:p>
        </w:tc>
        <w:tc>
          <w:tcPr>
            <w:tcW w:w="1701" w:type="dxa"/>
            <w:tcBorders>
              <w:top w:val="single" w:sz="4" w:space="0" w:color="auto"/>
              <w:left w:val="single" w:sz="4" w:space="0" w:color="auto"/>
              <w:bottom w:val="single" w:sz="4" w:space="0" w:color="auto"/>
              <w:right w:val="single" w:sz="8" w:space="0" w:color="auto"/>
            </w:tcBorders>
            <w:shd w:val="clear" w:color="000000" w:fill="FDB57A"/>
            <w:noWrap/>
            <w:vAlign w:val="bottom"/>
            <w:hideMark/>
          </w:tcPr>
          <w:p w14:paraId="6776B7BB"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36.3%</w:t>
            </w:r>
          </w:p>
        </w:tc>
      </w:tr>
      <w:tr w:rsidR="001C74F3" w:rsidRPr="001C74F3" w14:paraId="10B5FDD5" w14:textId="77777777" w:rsidTr="00091692">
        <w:trPr>
          <w:trHeight w:val="285"/>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14:paraId="76D553EC"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5</w:t>
            </w:r>
          </w:p>
        </w:tc>
        <w:tc>
          <w:tcPr>
            <w:tcW w:w="1276" w:type="dxa"/>
            <w:tcBorders>
              <w:top w:val="single" w:sz="4" w:space="0" w:color="auto"/>
              <w:left w:val="single" w:sz="4" w:space="0" w:color="auto"/>
              <w:bottom w:val="single" w:sz="4" w:space="0" w:color="auto"/>
              <w:right w:val="single" w:sz="4" w:space="0" w:color="auto"/>
            </w:tcBorders>
            <w:shd w:val="clear" w:color="000000" w:fill="FDBE7C"/>
            <w:noWrap/>
            <w:vAlign w:val="bottom"/>
            <w:hideMark/>
          </w:tcPr>
          <w:p w14:paraId="710184EF"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13.5%</w:t>
            </w:r>
          </w:p>
        </w:tc>
        <w:tc>
          <w:tcPr>
            <w:tcW w:w="1462" w:type="dxa"/>
            <w:tcBorders>
              <w:top w:val="single" w:sz="4" w:space="0" w:color="auto"/>
              <w:left w:val="single" w:sz="4" w:space="0" w:color="auto"/>
              <w:bottom w:val="single" w:sz="4" w:space="0" w:color="auto"/>
              <w:right w:val="single" w:sz="4" w:space="0" w:color="auto"/>
            </w:tcBorders>
            <w:shd w:val="clear" w:color="000000" w:fill="FCAE79"/>
            <w:noWrap/>
            <w:vAlign w:val="bottom"/>
            <w:hideMark/>
          </w:tcPr>
          <w:p w14:paraId="6255BCEF"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14.1%</w:t>
            </w:r>
          </w:p>
        </w:tc>
        <w:tc>
          <w:tcPr>
            <w:tcW w:w="1280" w:type="dxa"/>
            <w:tcBorders>
              <w:top w:val="single" w:sz="4" w:space="0" w:color="auto"/>
              <w:left w:val="single" w:sz="4" w:space="0" w:color="auto"/>
              <w:bottom w:val="single" w:sz="4" w:space="0" w:color="auto"/>
              <w:right w:val="single" w:sz="4" w:space="0" w:color="auto"/>
            </w:tcBorders>
            <w:shd w:val="clear" w:color="000000" w:fill="FCA577"/>
            <w:noWrap/>
            <w:vAlign w:val="bottom"/>
            <w:hideMark/>
          </w:tcPr>
          <w:p w14:paraId="0E3DFD43"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14.7%</w:t>
            </w:r>
          </w:p>
        </w:tc>
        <w:tc>
          <w:tcPr>
            <w:tcW w:w="1368" w:type="dxa"/>
            <w:tcBorders>
              <w:top w:val="single" w:sz="4" w:space="0" w:color="auto"/>
              <w:left w:val="single" w:sz="4" w:space="0" w:color="auto"/>
              <w:bottom w:val="single" w:sz="4" w:space="0" w:color="auto"/>
              <w:right w:val="single" w:sz="4" w:space="0" w:color="auto"/>
            </w:tcBorders>
            <w:shd w:val="clear" w:color="000000" w:fill="FFDF82"/>
            <w:noWrap/>
            <w:vAlign w:val="bottom"/>
            <w:hideMark/>
          </w:tcPr>
          <w:p w14:paraId="7B299E0C"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17.3%</w:t>
            </w:r>
          </w:p>
        </w:tc>
        <w:tc>
          <w:tcPr>
            <w:tcW w:w="1701"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06A120BC"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757</w:t>
            </w:r>
          </w:p>
        </w:tc>
        <w:tc>
          <w:tcPr>
            <w:tcW w:w="1701" w:type="dxa"/>
            <w:tcBorders>
              <w:top w:val="single" w:sz="4" w:space="0" w:color="auto"/>
              <w:left w:val="single" w:sz="4" w:space="0" w:color="auto"/>
              <w:bottom w:val="single" w:sz="4" w:space="0" w:color="auto"/>
              <w:right w:val="single" w:sz="8" w:space="0" w:color="auto"/>
            </w:tcBorders>
            <w:shd w:val="clear" w:color="000000" w:fill="FED07F"/>
            <w:noWrap/>
            <w:vAlign w:val="bottom"/>
            <w:hideMark/>
          </w:tcPr>
          <w:p w14:paraId="6E716ED6"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32.3%</w:t>
            </w:r>
          </w:p>
        </w:tc>
      </w:tr>
      <w:tr w:rsidR="001C74F3" w:rsidRPr="001C74F3" w14:paraId="3F5EC4EA" w14:textId="77777777" w:rsidTr="00091692">
        <w:trPr>
          <w:trHeight w:val="293"/>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14:paraId="30D7920C"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6</w:t>
            </w:r>
          </w:p>
        </w:tc>
        <w:tc>
          <w:tcPr>
            <w:tcW w:w="1276" w:type="dxa"/>
            <w:tcBorders>
              <w:top w:val="single" w:sz="4" w:space="0" w:color="auto"/>
              <w:left w:val="single" w:sz="4" w:space="0" w:color="auto"/>
              <w:bottom w:val="single" w:sz="4" w:space="0" w:color="auto"/>
              <w:right w:val="single" w:sz="4" w:space="0" w:color="auto"/>
            </w:tcBorders>
            <w:shd w:val="clear" w:color="000000" w:fill="FB9073"/>
            <w:noWrap/>
            <w:vAlign w:val="bottom"/>
            <w:hideMark/>
          </w:tcPr>
          <w:p w14:paraId="590A9CA4"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18.3%</w:t>
            </w:r>
          </w:p>
        </w:tc>
        <w:tc>
          <w:tcPr>
            <w:tcW w:w="1462" w:type="dxa"/>
            <w:tcBorders>
              <w:top w:val="single" w:sz="4" w:space="0" w:color="auto"/>
              <w:left w:val="single" w:sz="4" w:space="0" w:color="auto"/>
              <w:bottom w:val="single" w:sz="4" w:space="0" w:color="auto"/>
              <w:right w:val="single" w:sz="4" w:space="0" w:color="auto"/>
            </w:tcBorders>
            <w:shd w:val="clear" w:color="000000" w:fill="FA8871"/>
            <w:noWrap/>
            <w:vAlign w:val="bottom"/>
            <w:hideMark/>
          </w:tcPr>
          <w:p w14:paraId="072827F5"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17.7%</w:t>
            </w:r>
          </w:p>
        </w:tc>
        <w:tc>
          <w:tcPr>
            <w:tcW w:w="1280" w:type="dxa"/>
            <w:tcBorders>
              <w:top w:val="single" w:sz="4" w:space="0" w:color="auto"/>
              <w:left w:val="single" w:sz="4" w:space="0" w:color="auto"/>
              <w:bottom w:val="single" w:sz="4" w:space="0" w:color="auto"/>
              <w:right w:val="single" w:sz="4" w:space="0" w:color="auto"/>
            </w:tcBorders>
            <w:shd w:val="clear" w:color="000000" w:fill="FB8F73"/>
            <w:noWrap/>
            <w:vAlign w:val="bottom"/>
            <w:hideMark/>
          </w:tcPr>
          <w:p w14:paraId="2A919675"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16.7%</w:t>
            </w:r>
          </w:p>
        </w:tc>
        <w:tc>
          <w:tcPr>
            <w:tcW w:w="1368"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2E45BFAD"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15.6%</w:t>
            </w:r>
          </w:p>
        </w:tc>
        <w:tc>
          <w:tcPr>
            <w:tcW w:w="1701" w:type="dxa"/>
            <w:tcBorders>
              <w:top w:val="single" w:sz="4" w:space="0" w:color="auto"/>
              <w:left w:val="single" w:sz="4" w:space="0" w:color="auto"/>
              <w:bottom w:val="single" w:sz="4" w:space="0" w:color="auto"/>
              <w:right w:val="single" w:sz="4" w:space="0" w:color="auto"/>
            </w:tcBorders>
            <w:shd w:val="clear" w:color="000000" w:fill="FB8F73"/>
            <w:noWrap/>
            <w:vAlign w:val="bottom"/>
            <w:hideMark/>
          </w:tcPr>
          <w:p w14:paraId="44D71A07"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647</w:t>
            </w:r>
          </w:p>
        </w:tc>
        <w:tc>
          <w:tcPr>
            <w:tcW w:w="1701" w:type="dxa"/>
            <w:tcBorders>
              <w:top w:val="single" w:sz="4" w:space="0" w:color="auto"/>
              <w:left w:val="single" w:sz="4" w:space="0" w:color="auto"/>
              <w:bottom w:val="single" w:sz="4" w:space="0" w:color="auto"/>
              <w:right w:val="single" w:sz="8" w:space="0" w:color="auto"/>
            </w:tcBorders>
            <w:shd w:val="clear" w:color="000000" w:fill="DFE182"/>
            <w:noWrap/>
            <w:vAlign w:val="bottom"/>
            <w:hideMark/>
          </w:tcPr>
          <w:p w14:paraId="0B0E51A4"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24.4%</w:t>
            </w:r>
          </w:p>
        </w:tc>
      </w:tr>
      <w:tr w:rsidR="001C74F3" w:rsidRPr="001C74F3" w14:paraId="6509C9BD" w14:textId="77777777" w:rsidTr="00091692">
        <w:trPr>
          <w:trHeight w:val="285"/>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14:paraId="31B511A9"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7</w:t>
            </w:r>
          </w:p>
        </w:tc>
        <w:tc>
          <w:tcPr>
            <w:tcW w:w="1276"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0A735345"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22.2%</w:t>
            </w:r>
          </w:p>
        </w:tc>
        <w:tc>
          <w:tcPr>
            <w:tcW w:w="1462"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054E2D80"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20.7%</w:t>
            </w:r>
          </w:p>
        </w:tc>
        <w:tc>
          <w:tcPr>
            <w:tcW w:w="1280"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23343A27"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20.0%</w:t>
            </w:r>
          </w:p>
        </w:tc>
        <w:tc>
          <w:tcPr>
            <w:tcW w:w="1368" w:type="dxa"/>
            <w:tcBorders>
              <w:top w:val="single" w:sz="4" w:space="0" w:color="auto"/>
              <w:left w:val="single" w:sz="4" w:space="0" w:color="auto"/>
              <w:bottom w:val="single" w:sz="4" w:space="0" w:color="auto"/>
              <w:right w:val="single" w:sz="4" w:space="0" w:color="auto"/>
            </w:tcBorders>
            <w:shd w:val="clear" w:color="000000" w:fill="A9D27F"/>
            <w:noWrap/>
            <w:vAlign w:val="bottom"/>
            <w:hideMark/>
          </w:tcPr>
          <w:p w14:paraId="25A7BBEB"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16.0%</w:t>
            </w:r>
          </w:p>
        </w:tc>
        <w:tc>
          <w:tcPr>
            <w:tcW w:w="1701" w:type="dxa"/>
            <w:tcBorders>
              <w:top w:val="single" w:sz="4" w:space="0" w:color="auto"/>
              <w:left w:val="single" w:sz="4" w:space="0" w:color="auto"/>
              <w:bottom w:val="single" w:sz="4" w:space="0" w:color="auto"/>
              <w:right w:val="single" w:sz="4" w:space="0" w:color="auto"/>
            </w:tcBorders>
            <w:shd w:val="clear" w:color="000000" w:fill="FA8571"/>
            <w:noWrap/>
            <w:vAlign w:val="bottom"/>
            <w:hideMark/>
          </w:tcPr>
          <w:p w14:paraId="2EE0E05E"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678</w:t>
            </w:r>
          </w:p>
        </w:tc>
        <w:tc>
          <w:tcPr>
            <w:tcW w:w="1701" w:type="dxa"/>
            <w:tcBorders>
              <w:top w:val="single" w:sz="4" w:space="0" w:color="auto"/>
              <w:left w:val="single" w:sz="4" w:space="0" w:color="auto"/>
              <w:bottom w:val="single" w:sz="4" w:space="0" w:color="auto"/>
              <w:right w:val="single" w:sz="8" w:space="0" w:color="auto"/>
            </w:tcBorders>
            <w:shd w:val="clear" w:color="000000" w:fill="C6DA80"/>
            <w:noWrap/>
            <w:vAlign w:val="bottom"/>
            <w:hideMark/>
          </w:tcPr>
          <w:p w14:paraId="040C4042"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21.3%</w:t>
            </w:r>
          </w:p>
        </w:tc>
      </w:tr>
      <w:tr w:rsidR="001C74F3" w:rsidRPr="001C74F3" w14:paraId="4FF0DF73" w14:textId="77777777" w:rsidTr="00091692">
        <w:trPr>
          <w:trHeight w:val="285"/>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14:paraId="438D467B"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8</w:t>
            </w:r>
          </w:p>
        </w:tc>
        <w:tc>
          <w:tcPr>
            <w:tcW w:w="1276" w:type="dxa"/>
            <w:tcBorders>
              <w:top w:val="single" w:sz="4" w:space="0" w:color="auto"/>
              <w:left w:val="single" w:sz="4" w:space="0" w:color="auto"/>
              <w:bottom w:val="single" w:sz="4" w:space="0" w:color="auto"/>
              <w:right w:val="single" w:sz="4" w:space="0" w:color="auto"/>
            </w:tcBorders>
            <w:shd w:val="clear" w:color="000000" w:fill="FDB67A"/>
            <w:noWrap/>
            <w:vAlign w:val="bottom"/>
            <w:hideMark/>
          </w:tcPr>
          <w:p w14:paraId="1DD5A8F7"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14.3%</w:t>
            </w:r>
          </w:p>
        </w:tc>
        <w:tc>
          <w:tcPr>
            <w:tcW w:w="1462" w:type="dxa"/>
            <w:tcBorders>
              <w:top w:val="single" w:sz="4" w:space="0" w:color="auto"/>
              <w:left w:val="single" w:sz="4" w:space="0" w:color="auto"/>
              <w:bottom w:val="single" w:sz="4" w:space="0" w:color="auto"/>
              <w:right w:val="single" w:sz="4" w:space="0" w:color="auto"/>
            </w:tcBorders>
            <w:shd w:val="clear" w:color="000000" w:fill="FA8771"/>
            <w:noWrap/>
            <w:vAlign w:val="bottom"/>
            <w:hideMark/>
          </w:tcPr>
          <w:p w14:paraId="28BFBBC3"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17.8%</w:t>
            </w:r>
          </w:p>
        </w:tc>
        <w:tc>
          <w:tcPr>
            <w:tcW w:w="1280" w:type="dxa"/>
            <w:tcBorders>
              <w:top w:val="single" w:sz="4" w:space="0" w:color="auto"/>
              <w:left w:val="single" w:sz="4" w:space="0" w:color="auto"/>
              <w:bottom w:val="single" w:sz="4" w:space="0" w:color="auto"/>
              <w:right w:val="single" w:sz="4" w:space="0" w:color="auto"/>
            </w:tcBorders>
            <w:shd w:val="clear" w:color="000000" w:fill="FA8370"/>
            <w:noWrap/>
            <w:vAlign w:val="bottom"/>
            <w:hideMark/>
          </w:tcPr>
          <w:p w14:paraId="5E92EBE0"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17.7%</w:t>
            </w:r>
          </w:p>
        </w:tc>
        <w:tc>
          <w:tcPr>
            <w:tcW w:w="1368" w:type="dxa"/>
            <w:tcBorders>
              <w:top w:val="single" w:sz="4" w:space="0" w:color="auto"/>
              <w:left w:val="single" w:sz="4" w:space="0" w:color="auto"/>
              <w:bottom w:val="single" w:sz="4" w:space="0" w:color="auto"/>
              <w:right w:val="single" w:sz="4" w:space="0" w:color="auto"/>
            </w:tcBorders>
            <w:shd w:val="clear" w:color="000000" w:fill="F4E783"/>
            <w:noWrap/>
            <w:vAlign w:val="bottom"/>
            <w:hideMark/>
          </w:tcPr>
          <w:p w14:paraId="456FC784"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16.4%</w:t>
            </w:r>
          </w:p>
        </w:tc>
        <w:tc>
          <w:tcPr>
            <w:tcW w:w="1701" w:type="dxa"/>
            <w:tcBorders>
              <w:top w:val="single" w:sz="4" w:space="0" w:color="auto"/>
              <w:left w:val="single" w:sz="4" w:space="0" w:color="auto"/>
              <w:bottom w:val="single" w:sz="4" w:space="0" w:color="auto"/>
              <w:right w:val="single" w:sz="4" w:space="0" w:color="auto"/>
            </w:tcBorders>
            <w:shd w:val="clear" w:color="000000" w:fill="FED981"/>
            <w:noWrap/>
            <w:vAlign w:val="bottom"/>
            <w:hideMark/>
          </w:tcPr>
          <w:p w14:paraId="6C45F64E"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436</w:t>
            </w:r>
          </w:p>
        </w:tc>
        <w:tc>
          <w:tcPr>
            <w:tcW w:w="1701" w:type="dxa"/>
            <w:tcBorders>
              <w:top w:val="single" w:sz="4" w:space="0" w:color="auto"/>
              <w:left w:val="single" w:sz="4" w:space="0" w:color="auto"/>
              <w:bottom w:val="single" w:sz="4" w:space="0" w:color="auto"/>
              <w:right w:val="single" w:sz="8" w:space="0" w:color="auto"/>
            </w:tcBorders>
            <w:shd w:val="clear" w:color="000000" w:fill="97CD7E"/>
            <w:noWrap/>
            <w:vAlign w:val="bottom"/>
            <w:hideMark/>
          </w:tcPr>
          <w:p w14:paraId="530708FE"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15.5%</w:t>
            </w:r>
          </w:p>
        </w:tc>
      </w:tr>
      <w:tr w:rsidR="001C74F3" w:rsidRPr="001C74F3" w14:paraId="657428D3" w14:textId="77777777" w:rsidTr="00091692">
        <w:trPr>
          <w:trHeight w:val="285"/>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14:paraId="66B91D2F"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9</w:t>
            </w:r>
          </w:p>
        </w:tc>
        <w:tc>
          <w:tcPr>
            <w:tcW w:w="1276" w:type="dxa"/>
            <w:tcBorders>
              <w:top w:val="single" w:sz="4" w:space="0" w:color="auto"/>
              <w:left w:val="single" w:sz="4" w:space="0" w:color="auto"/>
              <w:bottom w:val="single" w:sz="4" w:space="0" w:color="auto"/>
              <w:right w:val="single" w:sz="4" w:space="0" w:color="auto"/>
            </w:tcBorders>
            <w:shd w:val="clear" w:color="000000" w:fill="C0D980"/>
            <w:noWrap/>
            <w:vAlign w:val="bottom"/>
            <w:hideMark/>
          </w:tcPr>
          <w:p w14:paraId="66A18F2E"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5.6%</w:t>
            </w:r>
          </w:p>
        </w:tc>
        <w:tc>
          <w:tcPr>
            <w:tcW w:w="1462" w:type="dxa"/>
            <w:tcBorders>
              <w:top w:val="single" w:sz="4" w:space="0" w:color="auto"/>
              <w:left w:val="single" w:sz="4" w:space="0" w:color="auto"/>
              <w:bottom w:val="single" w:sz="4" w:space="0" w:color="auto"/>
              <w:right w:val="single" w:sz="4" w:space="0" w:color="auto"/>
            </w:tcBorders>
            <w:shd w:val="clear" w:color="000000" w:fill="DBE081"/>
            <w:noWrap/>
            <w:vAlign w:val="bottom"/>
            <w:hideMark/>
          </w:tcPr>
          <w:p w14:paraId="5EFEC242"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6.4%</w:t>
            </w:r>
          </w:p>
        </w:tc>
        <w:tc>
          <w:tcPr>
            <w:tcW w:w="1280" w:type="dxa"/>
            <w:tcBorders>
              <w:top w:val="single" w:sz="4" w:space="0" w:color="auto"/>
              <w:left w:val="single" w:sz="4" w:space="0" w:color="auto"/>
              <w:bottom w:val="single" w:sz="4" w:space="0" w:color="auto"/>
              <w:right w:val="single" w:sz="4" w:space="0" w:color="auto"/>
            </w:tcBorders>
            <w:shd w:val="clear" w:color="000000" w:fill="D1DD81"/>
            <w:noWrap/>
            <w:vAlign w:val="bottom"/>
            <w:hideMark/>
          </w:tcPr>
          <w:p w14:paraId="6E6F430D"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6.3%</w:t>
            </w:r>
          </w:p>
        </w:tc>
        <w:tc>
          <w:tcPr>
            <w:tcW w:w="1368" w:type="dxa"/>
            <w:tcBorders>
              <w:top w:val="single" w:sz="4" w:space="0" w:color="auto"/>
              <w:left w:val="single" w:sz="4" w:space="0" w:color="auto"/>
              <w:bottom w:val="single" w:sz="4" w:space="0" w:color="auto"/>
              <w:right w:val="single" w:sz="4" w:space="0" w:color="auto"/>
            </w:tcBorders>
            <w:shd w:val="clear" w:color="000000" w:fill="DAE081"/>
            <w:noWrap/>
            <w:vAlign w:val="bottom"/>
            <w:hideMark/>
          </w:tcPr>
          <w:p w14:paraId="3D6C4B33"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16.3%</w:t>
            </w:r>
          </w:p>
        </w:tc>
        <w:tc>
          <w:tcPr>
            <w:tcW w:w="1701" w:type="dxa"/>
            <w:tcBorders>
              <w:top w:val="single" w:sz="4" w:space="0" w:color="auto"/>
              <w:left w:val="single" w:sz="4" w:space="0" w:color="auto"/>
              <w:bottom w:val="single" w:sz="4" w:space="0" w:color="auto"/>
              <w:right w:val="single" w:sz="4" w:space="0" w:color="auto"/>
            </w:tcBorders>
            <w:shd w:val="clear" w:color="000000" w:fill="6FC17B"/>
            <w:noWrap/>
            <w:vAlign w:val="bottom"/>
            <w:hideMark/>
          </w:tcPr>
          <w:p w14:paraId="7E8DB891"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89</w:t>
            </w:r>
          </w:p>
        </w:tc>
        <w:tc>
          <w:tcPr>
            <w:tcW w:w="1701" w:type="dxa"/>
            <w:tcBorders>
              <w:top w:val="single" w:sz="4" w:space="0" w:color="auto"/>
              <w:left w:val="single" w:sz="4" w:space="0" w:color="auto"/>
              <w:bottom w:val="single" w:sz="4" w:space="0" w:color="auto"/>
              <w:right w:val="single" w:sz="8" w:space="0" w:color="auto"/>
            </w:tcBorders>
            <w:shd w:val="clear" w:color="000000" w:fill="63BE7B"/>
            <w:noWrap/>
            <w:vAlign w:val="bottom"/>
            <w:hideMark/>
          </w:tcPr>
          <w:p w14:paraId="1DEE9919"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8.9%</w:t>
            </w:r>
          </w:p>
        </w:tc>
      </w:tr>
      <w:tr w:rsidR="001C74F3" w:rsidRPr="001C74F3" w14:paraId="5539D299" w14:textId="77777777" w:rsidTr="00091692">
        <w:trPr>
          <w:trHeight w:val="293"/>
        </w:trPr>
        <w:tc>
          <w:tcPr>
            <w:tcW w:w="841" w:type="dxa"/>
            <w:tcBorders>
              <w:top w:val="nil"/>
              <w:left w:val="single" w:sz="8" w:space="0" w:color="auto"/>
              <w:bottom w:val="single" w:sz="8" w:space="0" w:color="auto"/>
              <w:right w:val="single" w:sz="4" w:space="0" w:color="auto"/>
            </w:tcBorders>
            <w:shd w:val="clear" w:color="auto" w:fill="auto"/>
            <w:noWrap/>
            <w:vAlign w:val="bottom"/>
            <w:hideMark/>
          </w:tcPr>
          <w:p w14:paraId="344F1134"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10</w:t>
            </w:r>
          </w:p>
        </w:tc>
        <w:tc>
          <w:tcPr>
            <w:tcW w:w="1276" w:type="dxa"/>
            <w:tcBorders>
              <w:top w:val="single" w:sz="4" w:space="0" w:color="auto"/>
              <w:left w:val="single" w:sz="4" w:space="0" w:color="auto"/>
              <w:bottom w:val="single" w:sz="8" w:space="0" w:color="auto"/>
              <w:right w:val="single" w:sz="4" w:space="0" w:color="auto"/>
            </w:tcBorders>
            <w:shd w:val="clear" w:color="000000" w:fill="D0DD81"/>
            <w:noWrap/>
            <w:vAlign w:val="bottom"/>
            <w:hideMark/>
          </w:tcPr>
          <w:p w14:paraId="5853B69B"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6.3%</w:t>
            </w:r>
          </w:p>
        </w:tc>
        <w:tc>
          <w:tcPr>
            <w:tcW w:w="1462" w:type="dxa"/>
            <w:tcBorders>
              <w:top w:val="single" w:sz="4" w:space="0" w:color="auto"/>
              <w:left w:val="single" w:sz="4" w:space="0" w:color="auto"/>
              <w:bottom w:val="single" w:sz="8" w:space="0" w:color="auto"/>
              <w:right w:val="single" w:sz="4" w:space="0" w:color="auto"/>
            </w:tcBorders>
            <w:shd w:val="clear" w:color="000000" w:fill="E6E382"/>
            <w:noWrap/>
            <w:vAlign w:val="bottom"/>
            <w:hideMark/>
          </w:tcPr>
          <w:p w14:paraId="1E91336C"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6.9%</w:t>
            </w:r>
          </w:p>
        </w:tc>
        <w:tc>
          <w:tcPr>
            <w:tcW w:w="1280" w:type="dxa"/>
            <w:tcBorders>
              <w:top w:val="single" w:sz="4" w:space="0" w:color="auto"/>
              <w:left w:val="single" w:sz="4" w:space="0" w:color="auto"/>
              <w:bottom w:val="single" w:sz="8" w:space="0" w:color="auto"/>
              <w:right w:val="single" w:sz="4" w:space="0" w:color="auto"/>
            </w:tcBorders>
            <w:shd w:val="clear" w:color="000000" w:fill="DBE081"/>
            <w:noWrap/>
            <w:vAlign w:val="bottom"/>
            <w:hideMark/>
          </w:tcPr>
          <w:p w14:paraId="436E8B47"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6.8%</w:t>
            </w:r>
          </w:p>
        </w:tc>
        <w:tc>
          <w:tcPr>
            <w:tcW w:w="1368" w:type="dxa"/>
            <w:tcBorders>
              <w:top w:val="single" w:sz="4" w:space="0" w:color="auto"/>
              <w:left w:val="single" w:sz="4" w:space="0" w:color="auto"/>
              <w:bottom w:val="single" w:sz="8" w:space="0" w:color="auto"/>
              <w:right w:val="single" w:sz="4" w:space="0" w:color="auto"/>
            </w:tcBorders>
            <w:shd w:val="clear" w:color="000000" w:fill="DCE081"/>
            <w:noWrap/>
            <w:vAlign w:val="bottom"/>
            <w:hideMark/>
          </w:tcPr>
          <w:p w14:paraId="02E202DB"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16.3%</w:t>
            </w:r>
          </w:p>
        </w:tc>
        <w:tc>
          <w:tcPr>
            <w:tcW w:w="1701" w:type="dxa"/>
            <w:tcBorders>
              <w:top w:val="single" w:sz="4" w:space="0" w:color="auto"/>
              <w:left w:val="single" w:sz="4" w:space="0" w:color="auto"/>
              <w:bottom w:val="single" w:sz="8" w:space="0" w:color="auto"/>
              <w:right w:val="single" w:sz="4" w:space="0" w:color="auto"/>
            </w:tcBorders>
            <w:shd w:val="clear" w:color="000000" w:fill="73C27B"/>
            <w:noWrap/>
            <w:vAlign w:val="bottom"/>
            <w:hideMark/>
          </w:tcPr>
          <w:p w14:paraId="339439CA"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99</w:t>
            </w:r>
          </w:p>
        </w:tc>
        <w:tc>
          <w:tcPr>
            <w:tcW w:w="1701" w:type="dxa"/>
            <w:tcBorders>
              <w:top w:val="single" w:sz="4" w:space="0" w:color="auto"/>
              <w:left w:val="single" w:sz="4" w:space="0" w:color="auto"/>
              <w:bottom w:val="single" w:sz="8" w:space="0" w:color="auto"/>
              <w:right w:val="single" w:sz="8" w:space="0" w:color="auto"/>
            </w:tcBorders>
            <w:shd w:val="clear" w:color="000000" w:fill="64BE7B"/>
            <w:noWrap/>
            <w:vAlign w:val="bottom"/>
            <w:hideMark/>
          </w:tcPr>
          <w:p w14:paraId="5879D6FF" w14:textId="77777777" w:rsidR="001C74F3" w:rsidRPr="001C74F3" w:rsidRDefault="001C74F3" w:rsidP="001C74F3">
            <w:pPr>
              <w:spacing w:before="0" w:after="0" w:line="240" w:lineRule="auto"/>
              <w:jc w:val="center"/>
              <w:rPr>
                <w:rFonts w:eastAsia="Times New Roman" w:cstheme="minorHAnsi"/>
                <w:color w:val="000000"/>
                <w:lang w:eastAsia="en-GB"/>
              </w:rPr>
            </w:pPr>
            <w:r w:rsidRPr="001C74F3">
              <w:rPr>
                <w:rFonts w:eastAsia="Times New Roman" w:cstheme="minorHAnsi"/>
                <w:color w:val="000000"/>
                <w:lang w:eastAsia="en-GB"/>
              </w:rPr>
              <w:t>9.1%</w:t>
            </w:r>
          </w:p>
        </w:tc>
      </w:tr>
    </w:tbl>
    <w:p w14:paraId="0DD22358" w14:textId="77777777" w:rsidR="005301FF" w:rsidRDefault="005301FF" w:rsidP="005F5C8E">
      <w:pPr>
        <w:spacing w:before="240"/>
      </w:pPr>
    </w:p>
    <w:p w14:paraId="5BAF5F3E" w14:textId="234EDC0B" w:rsidR="00F37AB6" w:rsidRDefault="00F37AB6" w:rsidP="00F37AB6">
      <w:pPr>
        <w:pStyle w:val="Heading2"/>
      </w:pPr>
      <w:r>
        <w:t xml:space="preserve">Table 4: </w:t>
      </w:r>
      <w:r w:rsidR="001C74F3">
        <w:t xml:space="preserve">MORAY </w:t>
      </w:r>
      <w:r>
        <w:t>internal deprivation</w:t>
      </w:r>
    </w:p>
    <w:p w14:paraId="0BBF7E00" w14:textId="24D7C768" w:rsidR="00F37AB6" w:rsidRDefault="007E7C46" w:rsidP="005F5C8E">
      <w:pPr>
        <w:spacing w:before="240"/>
      </w:pPr>
      <w:r>
        <w:t xml:space="preserve">The national perspective can only show how Moray compares with other areas in Scotland, it is not able to provide an internal picture of Moray. </w:t>
      </w:r>
      <w:r w:rsidR="00F37AB6" w:rsidRPr="00F37AB6">
        <w:t>Using the same approach as SIMD2020</w:t>
      </w:r>
      <w:r w:rsidR="0096760B">
        <w:t>,</w:t>
      </w:r>
      <w:r w:rsidR="00F37AB6" w:rsidRPr="00F37AB6">
        <w:t xml:space="preserve"> but applying it internally to Moray’s 126 data zones</w:t>
      </w:r>
      <w:r w:rsidR="0096760B">
        <w:t>,</w:t>
      </w:r>
      <w:r w:rsidR="00F37AB6" w:rsidRPr="00F37AB6">
        <w:t xml:space="preserve"> </w:t>
      </w:r>
      <w:r w:rsidR="000B62BC">
        <w:t xml:space="preserve">provides a more accurate </w:t>
      </w:r>
      <w:r>
        <w:t>picture</w:t>
      </w:r>
      <w:r w:rsidR="00734F43">
        <w:t xml:space="preserve"> </w:t>
      </w:r>
      <w:r w:rsidR="000B62BC">
        <w:t>of deprivation within Moray.</w:t>
      </w:r>
    </w:p>
    <w:p w14:paraId="7D2AD76D" w14:textId="2FC89612" w:rsidR="00F37AB6" w:rsidRDefault="00F37AB6" w:rsidP="005F5C8E">
      <w:pPr>
        <w:spacing w:before="240"/>
      </w:pPr>
      <w:r>
        <w:t xml:space="preserve">By ranking each of Moray’s Data Zones from </w:t>
      </w:r>
      <w:r w:rsidR="000B62BC">
        <w:t>1-</w:t>
      </w:r>
      <w:r>
        <w:t>126 they can be placed into ‘Moray’ Deciles</w:t>
      </w:r>
      <w:r w:rsidR="000B62BC">
        <w:t xml:space="preserve"> (10% of Data Zones per Decile)</w:t>
      </w:r>
      <w:r>
        <w:t xml:space="preserve">, showing the internal deprivation of Moray. </w:t>
      </w:r>
      <w:r w:rsidR="00734F43">
        <w:t xml:space="preserve">By doing so, in theory, it would be expected that 10% of the population would live in each decile. Deciles 1-7 broadly follow this </w:t>
      </w:r>
      <w:r>
        <w:t>Population distribution</w:t>
      </w:r>
      <w:r w:rsidR="00734F43">
        <w:t>, but err on the lower side, whereas deciles 8-10 do not, they all</w:t>
      </w:r>
      <w:r w:rsidR="00ED4B64">
        <w:t xml:space="preserve"> have</w:t>
      </w:r>
      <w:r w:rsidR="00734F43">
        <w:t xml:space="preserve"> higher population levels than would be expected. </w:t>
      </w:r>
      <w:r w:rsidR="00195D73">
        <w:t xml:space="preserve">The 0-15 population follow a similar trend with a higher proportion living in the 30% least deprived in comparison to those in the 30% most deprived. </w:t>
      </w:r>
      <w:r w:rsidR="007E7C46">
        <w:t>These two factors show that even internally</w:t>
      </w:r>
      <w:r w:rsidR="0096760B">
        <w:t>,</w:t>
      </w:r>
      <w:r w:rsidR="007E7C46">
        <w:t xml:space="preserve"> Moray is inclined to be less deprived. </w:t>
      </w:r>
      <w:r w:rsidR="0096760B">
        <w:t xml:space="preserve">As with </w:t>
      </w:r>
      <w:r w:rsidR="0001346E">
        <w:t>the national perspective, t</w:t>
      </w:r>
      <w:r w:rsidR="00195D73">
        <w:t xml:space="preserve">he population density locally </w:t>
      </w:r>
      <w:r w:rsidR="0001346E">
        <w:t>is weighted towards those in the 30% most deprived</w:t>
      </w:r>
      <w:r w:rsidR="0096760B">
        <w:t>. F</w:t>
      </w:r>
      <w:r w:rsidR="0001346E">
        <w:t xml:space="preserve">amilies living in the most deprived areas are more likely to have more children and there is a higher likelihood of single parent families. The most significant difference between the national and local perspective is the number of children estimated to be living in poverty in the most deprived areas of Moray, these children are not evenly distributed within deciles. 48% of all Moray children estimated to be living in poverty are living in the 30% </w:t>
      </w:r>
      <w:r w:rsidR="00091692">
        <w:t xml:space="preserve">most </w:t>
      </w:r>
      <w:r w:rsidR="0001346E">
        <w:t>deprived of areas</w:t>
      </w:r>
      <w:r w:rsidR="007E7C46">
        <w:t xml:space="preserve"> of Moray</w:t>
      </w:r>
      <w:r w:rsidR="0001346E">
        <w:t xml:space="preserve">, in stark contrast to the </w:t>
      </w:r>
      <w:r w:rsidR="00F157FC">
        <w:t xml:space="preserve">14.5% </w:t>
      </w:r>
      <w:r w:rsidR="0001346E">
        <w:t>identified by using the national SIMD ranking</w:t>
      </w:r>
      <w:r w:rsidR="00F157FC">
        <w:t>.</w:t>
      </w:r>
      <w:r w:rsidR="00DA62DA">
        <w:t xml:space="preserve"> Both the number and proportion of children estimated to be living in poverty show a uniformed trend with more children and an increasing proportion living in poverty as levels of deprivation increase. Contrary to the indication of </w:t>
      </w:r>
      <w:r w:rsidR="00DA62DA" w:rsidRPr="00DA62DA">
        <w:rPr>
          <w:i/>
          <w:iCs/>
        </w:rPr>
        <w:t xml:space="preserve">’whether it is better to direct resources to areas </w:t>
      </w:r>
      <w:r w:rsidR="00DA62DA" w:rsidRPr="00DA62DA">
        <w:rPr>
          <w:i/>
          <w:iCs/>
        </w:rPr>
        <w:lastRenderedPageBreak/>
        <w:t>with the highest need but with the smallest proportion of children in poverty or, direct the same resources more widely to mitigate poverty for the vast majority of children.’</w:t>
      </w:r>
      <w:r w:rsidR="00DA62DA">
        <w:rPr>
          <w:i/>
          <w:iCs/>
        </w:rPr>
        <w:t xml:space="preserve"> </w:t>
      </w:r>
      <w:r w:rsidR="00DA62DA">
        <w:t>raised by analysis at a national perspective, the local perspective analysis shows the justification</w:t>
      </w:r>
      <w:r w:rsidR="001A5241">
        <w:t xml:space="preserve"> to direct resources to the areas of highest deprivation</w:t>
      </w:r>
      <w:r w:rsidR="00767585">
        <w:t>,</w:t>
      </w:r>
      <w:r w:rsidR="001A5241">
        <w:t xml:space="preserve"> as this is where the greatest impact of mitigating poverty can be made.</w:t>
      </w:r>
    </w:p>
    <w:p w14:paraId="02C1A99A" w14:textId="0DDFB8AC" w:rsidR="001A5241" w:rsidRDefault="001A5241" w:rsidP="001A5241">
      <w:pPr>
        <w:pStyle w:val="Caption"/>
        <w:keepNext/>
        <w:spacing w:after="0"/>
      </w:pPr>
      <w:r>
        <w:t xml:space="preserve">Table </w:t>
      </w:r>
      <w:r>
        <w:fldChar w:fldCharType="begin"/>
      </w:r>
      <w:r>
        <w:instrText xml:space="preserve"> SEQ Table \* ARABIC </w:instrText>
      </w:r>
      <w:r>
        <w:fldChar w:fldCharType="separate"/>
      </w:r>
      <w:r>
        <w:rPr>
          <w:noProof/>
        </w:rPr>
        <w:t>4</w:t>
      </w:r>
      <w:r>
        <w:fldChar w:fldCharType="end"/>
      </w:r>
      <w:r>
        <w:t xml:space="preserve"> - Moray Internal Deprivation</w:t>
      </w:r>
    </w:p>
    <w:tbl>
      <w:tblPr>
        <w:tblW w:w="9629" w:type="dxa"/>
        <w:tblInd w:w="-10" w:type="dxa"/>
        <w:tblLook w:val="04A0" w:firstRow="1" w:lastRow="0" w:firstColumn="1" w:lastColumn="0" w:noHBand="0" w:noVBand="1"/>
      </w:tblPr>
      <w:tblGrid>
        <w:gridCol w:w="841"/>
        <w:gridCol w:w="1341"/>
        <w:gridCol w:w="1431"/>
        <w:gridCol w:w="1218"/>
        <w:gridCol w:w="1396"/>
        <w:gridCol w:w="1701"/>
        <w:gridCol w:w="1701"/>
      </w:tblGrid>
      <w:tr w:rsidR="005301FF" w:rsidRPr="005301FF" w14:paraId="62F33F36" w14:textId="77777777" w:rsidTr="00091692">
        <w:trPr>
          <w:trHeight w:val="293"/>
        </w:trPr>
        <w:tc>
          <w:tcPr>
            <w:tcW w:w="9629" w:type="dxa"/>
            <w:gridSpan w:val="7"/>
            <w:tcBorders>
              <w:top w:val="single" w:sz="8" w:space="0" w:color="auto"/>
              <w:left w:val="single" w:sz="8" w:space="0" w:color="auto"/>
              <w:bottom w:val="single" w:sz="8" w:space="0" w:color="auto"/>
              <w:right w:val="single" w:sz="8" w:space="0" w:color="000000"/>
            </w:tcBorders>
            <w:shd w:val="clear" w:color="000000" w:fill="16365C"/>
            <w:noWrap/>
            <w:vAlign w:val="center"/>
            <w:hideMark/>
          </w:tcPr>
          <w:p w14:paraId="0BF22146" w14:textId="77777777" w:rsidR="005301FF" w:rsidRPr="005301FF" w:rsidRDefault="005301FF" w:rsidP="005301FF">
            <w:pPr>
              <w:spacing w:before="0" w:after="0" w:line="240" w:lineRule="auto"/>
              <w:rPr>
                <w:rFonts w:ascii="Calibri" w:eastAsia="Times New Roman" w:hAnsi="Calibri" w:cs="Calibri"/>
                <w:b/>
                <w:bCs/>
                <w:color w:val="FFFFFF"/>
                <w:sz w:val="22"/>
                <w:szCs w:val="22"/>
                <w:lang w:eastAsia="en-GB"/>
              </w:rPr>
            </w:pPr>
            <w:r w:rsidRPr="005301FF">
              <w:rPr>
                <w:rFonts w:ascii="Calibri" w:eastAsia="Times New Roman" w:hAnsi="Calibri" w:cs="Calibri"/>
                <w:b/>
                <w:bCs/>
                <w:color w:val="FFFFFF"/>
                <w:sz w:val="22"/>
                <w:szCs w:val="22"/>
                <w:lang w:eastAsia="en-GB"/>
              </w:rPr>
              <w:t>POPULATION DATA BY MORAY RANKING (1= MOST DEPRIVED, 10= LEAST DEPRIVED)</w:t>
            </w:r>
          </w:p>
        </w:tc>
      </w:tr>
      <w:tr w:rsidR="005301FF" w:rsidRPr="005301FF" w14:paraId="67D01EC6" w14:textId="77777777" w:rsidTr="00091692">
        <w:trPr>
          <w:trHeight w:val="1140"/>
        </w:trPr>
        <w:tc>
          <w:tcPr>
            <w:tcW w:w="841" w:type="dxa"/>
            <w:tcBorders>
              <w:top w:val="nil"/>
              <w:left w:val="single" w:sz="8" w:space="0" w:color="auto"/>
              <w:bottom w:val="single" w:sz="4" w:space="0" w:color="auto"/>
              <w:right w:val="single" w:sz="4" w:space="0" w:color="auto"/>
            </w:tcBorders>
            <w:shd w:val="clear" w:color="000000" w:fill="DCE6F1"/>
            <w:vAlign w:val="bottom"/>
            <w:hideMark/>
          </w:tcPr>
          <w:p w14:paraId="28CCF115" w14:textId="77777777" w:rsidR="005301FF" w:rsidRPr="005301FF" w:rsidRDefault="005301FF" w:rsidP="005301FF">
            <w:pPr>
              <w:spacing w:before="0" w:after="0" w:line="240" w:lineRule="auto"/>
              <w:jc w:val="center"/>
              <w:rPr>
                <w:rFonts w:eastAsia="Times New Roman" w:cstheme="minorHAnsi"/>
                <w:b/>
                <w:bCs/>
                <w:color w:val="000000"/>
                <w:lang w:eastAsia="en-GB"/>
              </w:rPr>
            </w:pPr>
            <w:r w:rsidRPr="005301FF">
              <w:rPr>
                <w:rFonts w:eastAsia="Times New Roman" w:cstheme="minorHAnsi"/>
                <w:b/>
                <w:bCs/>
                <w:color w:val="000000"/>
                <w:lang w:eastAsia="en-GB"/>
              </w:rPr>
              <w:t>SIMD DECILE</w:t>
            </w:r>
          </w:p>
        </w:tc>
        <w:tc>
          <w:tcPr>
            <w:tcW w:w="1341" w:type="dxa"/>
            <w:tcBorders>
              <w:top w:val="nil"/>
              <w:left w:val="nil"/>
              <w:bottom w:val="single" w:sz="4" w:space="0" w:color="auto"/>
              <w:right w:val="single" w:sz="4" w:space="0" w:color="auto"/>
            </w:tcBorders>
            <w:shd w:val="clear" w:color="000000" w:fill="DCE6F1"/>
            <w:vAlign w:val="bottom"/>
            <w:hideMark/>
          </w:tcPr>
          <w:p w14:paraId="59496CC6" w14:textId="77777777" w:rsidR="005301FF" w:rsidRPr="005301FF" w:rsidRDefault="005301FF" w:rsidP="005301FF">
            <w:pPr>
              <w:spacing w:before="0" w:after="0" w:line="240" w:lineRule="auto"/>
              <w:jc w:val="center"/>
              <w:rPr>
                <w:rFonts w:eastAsia="Times New Roman" w:cstheme="minorHAnsi"/>
                <w:b/>
                <w:bCs/>
                <w:color w:val="000000"/>
                <w:lang w:eastAsia="en-GB"/>
              </w:rPr>
            </w:pPr>
            <w:r w:rsidRPr="005301FF">
              <w:rPr>
                <w:rFonts w:eastAsia="Times New Roman" w:cstheme="minorHAnsi"/>
                <w:b/>
                <w:bCs/>
                <w:color w:val="000000"/>
                <w:lang w:eastAsia="en-GB"/>
              </w:rPr>
              <w:t>% of DATAZONES</w:t>
            </w:r>
          </w:p>
        </w:tc>
        <w:tc>
          <w:tcPr>
            <w:tcW w:w="1431" w:type="dxa"/>
            <w:tcBorders>
              <w:top w:val="nil"/>
              <w:left w:val="nil"/>
              <w:bottom w:val="single" w:sz="4" w:space="0" w:color="auto"/>
              <w:right w:val="single" w:sz="4" w:space="0" w:color="auto"/>
            </w:tcBorders>
            <w:shd w:val="clear" w:color="000000" w:fill="DCE6F1"/>
            <w:vAlign w:val="bottom"/>
            <w:hideMark/>
          </w:tcPr>
          <w:p w14:paraId="70DEBFF8" w14:textId="77777777" w:rsidR="005301FF" w:rsidRPr="005301FF" w:rsidRDefault="005301FF" w:rsidP="005301FF">
            <w:pPr>
              <w:spacing w:before="0" w:after="0" w:line="240" w:lineRule="auto"/>
              <w:jc w:val="center"/>
              <w:rPr>
                <w:rFonts w:eastAsia="Times New Roman" w:cstheme="minorHAnsi"/>
                <w:b/>
                <w:bCs/>
                <w:color w:val="000000"/>
                <w:lang w:eastAsia="en-GB"/>
              </w:rPr>
            </w:pPr>
            <w:r w:rsidRPr="005301FF">
              <w:rPr>
                <w:rFonts w:eastAsia="Times New Roman" w:cstheme="minorHAnsi"/>
                <w:b/>
                <w:bCs/>
                <w:color w:val="000000"/>
                <w:lang w:eastAsia="en-GB"/>
              </w:rPr>
              <w:t>% of POPULATION</w:t>
            </w:r>
          </w:p>
        </w:tc>
        <w:tc>
          <w:tcPr>
            <w:tcW w:w="1218" w:type="dxa"/>
            <w:tcBorders>
              <w:top w:val="nil"/>
              <w:left w:val="nil"/>
              <w:bottom w:val="single" w:sz="4" w:space="0" w:color="auto"/>
              <w:right w:val="single" w:sz="4" w:space="0" w:color="auto"/>
            </w:tcBorders>
            <w:shd w:val="clear" w:color="000000" w:fill="DCE6F1"/>
            <w:vAlign w:val="bottom"/>
            <w:hideMark/>
          </w:tcPr>
          <w:p w14:paraId="2C777758" w14:textId="77777777" w:rsidR="005301FF" w:rsidRPr="005301FF" w:rsidRDefault="005301FF" w:rsidP="005301FF">
            <w:pPr>
              <w:spacing w:before="0" w:after="0" w:line="240" w:lineRule="auto"/>
              <w:jc w:val="center"/>
              <w:rPr>
                <w:rFonts w:eastAsia="Times New Roman" w:cstheme="minorHAnsi"/>
                <w:b/>
                <w:bCs/>
                <w:color w:val="000000"/>
                <w:lang w:eastAsia="en-GB"/>
              </w:rPr>
            </w:pPr>
            <w:r w:rsidRPr="005301FF">
              <w:rPr>
                <w:rFonts w:eastAsia="Times New Roman" w:cstheme="minorHAnsi"/>
                <w:b/>
                <w:bCs/>
                <w:color w:val="000000"/>
                <w:lang w:eastAsia="en-GB"/>
              </w:rPr>
              <w:t>% of 0-15 (OVERALL) population</w:t>
            </w:r>
          </w:p>
        </w:tc>
        <w:tc>
          <w:tcPr>
            <w:tcW w:w="1396" w:type="dxa"/>
            <w:tcBorders>
              <w:top w:val="nil"/>
              <w:left w:val="nil"/>
              <w:bottom w:val="single" w:sz="4" w:space="0" w:color="auto"/>
              <w:right w:val="single" w:sz="4" w:space="0" w:color="auto"/>
            </w:tcBorders>
            <w:shd w:val="clear" w:color="000000" w:fill="DCE6F1"/>
            <w:vAlign w:val="bottom"/>
            <w:hideMark/>
          </w:tcPr>
          <w:p w14:paraId="7E2A3452" w14:textId="77777777" w:rsidR="005301FF" w:rsidRPr="005301FF" w:rsidRDefault="005301FF" w:rsidP="005301FF">
            <w:pPr>
              <w:spacing w:before="0" w:after="0" w:line="240" w:lineRule="auto"/>
              <w:jc w:val="center"/>
              <w:rPr>
                <w:rFonts w:eastAsia="Times New Roman" w:cstheme="minorHAnsi"/>
                <w:b/>
                <w:bCs/>
                <w:color w:val="000000"/>
                <w:lang w:eastAsia="en-GB"/>
              </w:rPr>
            </w:pPr>
            <w:r w:rsidRPr="005301FF">
              <w:rPr>
                <w:rFonts w:eastAsia="Times New Roman" w:cstheme="minorHAnsi"/>
                <w:b/>
                <w:bCs/>
                <w:color w:val="000000"/>
                <w:lang w:eastAsia="en-GB"/>
              </w:rPr>
              <w:t>% of 0-15 (DECILE) population)</w:t>
            </w:r>
          </w:p>
        </w:tc>
        <w:tc>
          <w:tcPr>
            <w:tcW w:w="1701" w:type="dxa"/>
            <w:tcBorders>
              <w:top w:val="nil"/>
              <w:left w:val="nil"/>
              <w:bottom w:val="single" w:sz="4" w:space="0" w:color="auto"/>
              <w:right w:val="single" w:sz="4" w:space="0" w:color="auto"/>
            </w:tcBorders>
            <w:shd w:val="clear" w:color="000000" w:fill="DCE6F1"/>
            <w:vAlign w:val="bottom"/>
            <w:hideMark/>
          </w:tcPr>
          <w:p w14:paraId="34262753" w14:textId="77777777" w:rsidR="005301FF" w:rsidRPr="005301FF" w:rsidRDefault="005301FF" w:rsidP="005301FF">
            <w:pPr>
              <w:spacing w:before="0" w:after="0" w:line="240" w:lineRule="auto"/>
              <w:jc w:val="center"/>
              <w:rPr>
                <w:rFonts w:eastAsia="Times New Roman" w:cstheme="minorHAnsi"/>
                <w:b/>
                <w:bCs/>
                <w:color w:val="000000"/>
                <w:lang w:eastAsia="en-GB"/>
              </w:rPr>
            </w:pPr>
            <w:r w:rsidRPr="005301FF">
              <w:rPr>
                <w:rFonts w:eastAsia="Times New Roman" w:cstheme="minorHAnsi"/>
                <w:b/>
                <w:bCs/>
                <w:color w:val="000000"/>
                <w:lang w:eastAsia="en-GB"/>
              </w:rPr>
              <w:t>Estimated number of Children (0-15) in Relative Child Poverty 2021/22</w:t>
            </w:r>
          </w:p>
        </w:tc>
        <w:tc>
          <w:tcPr>
            <w:tcW w:w="1701" w:type="dxa"/>
            <w:tcBorders>
              <w:top w:val="nil"/>
              <w:left w:val="nil"/>
              <w:bottom w:val="single" w:sz="4" w:space="0" w:color="auto"/>
              <w:right w:val="single" w:sz="8" w:space="0" w:color="auto"/>
            </w:tcBorders>
            <w:shd w:val="clear" w:color="000000" w:fill="16365C"/>
            <w:vAlign w:val="bottom"/>
            <w:hideMark/>
          </w:tcPr>
          <w:p w14:paraId="36BF669B" w14:textId="53F97123" w:rsidR="005301FF" w:rsidRPr="005301FF" w:rsidRDefault="005301FF" w:rsidP="005301FF">
            <w:pPr>
              <w:spacing w:before="0" w:after="0" w:line="240" w:lineRule="auto"/>
              <w:jc w:val="center"/>
              <w:rPr>
                <w:rFonts w:eastAsia="Times New Roman" w:cstheme="minorHAnsi"/>
                <w:b/>
                <w:bCs/>
                <w:color w:val="FFFFFF"/>
                <w:lang w:eastAsia="en-GB"/>
              </w:rPr>
            </w:pPr>
            <w:r w:rsidRPr="005301FF">
              <w:rPr>
                <w:rFonts w:eastAsia="Times New Roman" w:cstheme="minorHAnsi"/>
                <w:b/>
                <w:bCs/>
                <w:color w:val="FFFFFF"/>
                <w:lang w:eastAsia="en-GB"/>
              </w:rPr>
              <w:t xml:space="preserve">% Estimated Relative Child Poverty by </w:t>
            </w:r>
            <w:r w:rsidRPr="001C74F3">
              <w:rPr>
                <w:rFonts w:eastAsia="Times New Roman" w:cstheme="minorHAnsi"/>
                <w:b/>
                <w:bCs/>
                <w:color w:val="FFFFFF"/>
                <w:lang w:eastAsia="en-GB"/>
              </w:rPr>
              <w:t>Moray</w:t>
            </w:r>
            <w:r w:rsidRPr="005301FF">
              <w:rPr>
                <w:rFonts w:eastAsia="Times New Roman" w:cstheme="minorHAnsi"/>
                <w:b/>
                <w:bCs/>
                <w:color w:val="FFFFFF"/>
                <w:lang w:eastAsia="en-GB"/>
              </w:rPr>
              <w:t xml:space="preserve"> </w:t>
            </w:r>
            <w:r w:rsidRPr="001C74F3">
              <w:rPr>
                <w:rFonts w:eastAsia="Times New Roman" w:cstheme="minorHAnsi"/>
                <w:b/>
                <w:bCs/>
                <w:color w:val="FFFFFF"/>
                <w:lang w:eastAsia="en-GB"/>
              </w:rPr>
              <w:t>Ranking</w:t>
            </w:r>
            <w:r w:rsidRPr="005301FF">
              <w:rPr>
                <w:rFonts w:eastAsia="Times New Roman" w:cstheme="minorHAnsi"/>
                <w:b/>
                <w:bCs/>
                <w:color w:val="FFFFFF"/>
                <w:lang w:eastAsia="en-GB"/>
              </w:rPr>
              <w:t xml:space="preserve"> 2021/22</w:t>
            </w:r>
          </w:p>
        </w:tc>
      </w:tr>
      <w:tr w:rsidR="005301FF" w:rsidRPr="005301FF" w14:paraId="05A1E96D" w14:textId="77777777" w:rsidTr="00091692">
        <w:trPr>
          <w:trHeight w:val="285"/>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14:paraId="3639834C"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w:t>
            </w:r>
          </w:p>
        </w:tc>
        <w:tc>
          <w:tcPr>
            <w:tcW w:w="1341" w:type="dxa"/>
            <w:tcBorders>
              <w:top w:val="nil"/>
              <w:left w:val="nil"/>
              <w:bottom w:val="single" w:sz="4" w:space="0" w:color="auto"/>
              <w:right w:val="single" w:sz="4" w:space="0" w:color="auto"/>
            </w:tcBorders>
            <w:shd w:val="clear" w:color="auto" w:fill="auto"/>
            <w:noWrap/>
            <w:vAlign w:val="bottom"/>
            <w:hideMark/>
          </w:tcPr>
          <w:p w14:paraId="576ECDA1"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10.0%</w:t>
            </w:r>
          </w:p>
        </w:tc>
        <w:tc>
          <w:tcPr>
            <w:tcW w:w="1431" w:type="dxa"/>
            <w:tcBorders>
              <w:top w:val="single" w:sz="4" w:space="0" w:color="auto"/>
              <w:left w:val="single" w:sz="4" w:space="0" w:color="auto"/>
              <w:bottom w:val="single" w:sz="4" w:space="0" w:color="auto"/>
              <w:right w:val="single" w:sz="4" w:space="0" w:color="auto"/>
            </w:tcBorders>
            <w:shd w:val="clear" w:color="000000" w:fill="A0CF7E"/>
            <w:noWrap/>
            <w:vAlign w:val="bottom"/>
            <w:hideMark/>
          </w:tcPr>
          <w:p w14:paraId="50D37D38"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9.0%</w:t>
            </w:r>
          </w:p>
        </w:tc>
        <w:tc>
          <w:tcPr>
            <w:tcW w:w="1218" w:type="dxa"/>
            <w:tcBorders>
              <w:top w:val="single" w:sz="4" w:space="0" w:color="auto"/>
              <w:left w:val="single" w:sz="4" w:space="0" w:color="auto"/>
              <w:bottom w:val="single" w:sz="4" w:space="0" w:color="auto"/>
              <w:right w:val="single" w:sz="4" w:space="0" w:color="auto"/>
            </w:tcBorders>
            <w:shd w:val="clear" w:color="000000" w:fill="FDC57D"/>
            <w:noWrap/>
            <w:vAlign w:val="bottom"/>
            <w:hideMark/>
          </w:tcPr>
          <w:p w14:paraId="5C779E1D"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10.4%</w:t>
            </w:r>
          </w:p>
        </w:tc>
        <w:tc>
          <w:tcPr>
            <w:tcW w:w="1396" w:type="dxa"/>
            <w:tcBorders>
              <w:top w:val="single" w:sz="4" w:space="0" w:color="auto"/>
              <w:left w:val="single" w:sz="4" w:space="0" w:color="auto"/>
              <w:bottom w:val="single" w:sz="4" w:space="0" w:color="auto"/>
              <w:right w:val="single" w:sz="4" w:space="0" w:color="auto"/>
            </w:tcBorders>
            <w:shd w:val="clear" w:color="000000" w:fill="F9746D"/>
            <w:noWrap/>
            <w:vAlign w:val="bottom"/>
            <w:hideMark/>
          </w:tcPr>
          <w:p w14:paraId="73F9B764"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19.0%</w:t>
            </w:r>
          </w:p>
        </w:tc>
        <w:tc>
          <w:tcPr>
            <w:tcW w:w="1701"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4DFD7701"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758</w:t>
            </w:r>
          </w:p>
        </w:tc>
        <w:tc>
          <w:tcPr>
            <w:tcW w:w="1701" w:type="dxa"/>
            <w:tcBorders>
              <w:top w:val="single" w:sz="4" w:space="0" w:color="auto"/>
              <w:left w:val="single" w:sz="4" w:space="0" w:color="auto"/>
              <w:bottom w:val="single" w:sz="4" w:space="0" w:color="auto"/>
              <w:right w:val="single" w:sz="8" w:space="0" w:color="auto"/>
            </w:tcBorders>
            <w:shd w:val="clear" w:color="000000" w:fill="F8696B"/>
            <w:noWrap/>
            <w:vAlign w:val="bottom"/>
            <w:hideMark/>
          </w:tcPr>
          <w:p w14:paraId="0FCB4EFD"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45.7%</w:t>
            </w:r>
          </w:p>
        </w:tc>
      </w:tr>
      <w:tr w:rsidR="005301FF" w:rsidRPr="005301FF" w14:paraId="788023B7" w14:textId="77777777" w:rsidTr="00091692">
        <w:trPr>
          <w:trHeight w:val="285"/>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14:paraId="2F849FD7"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2</w:t>
            </w:r>
          </w:p>
        </w:tc>
        <w:tc>
          <w:tcPr>
            <w:tcW w:w="1341" w:type="dxa"/>
            <w:tcBorders>
              <w:top w:val="nil"/>
              <w:left w:val="nil"/>
              <w:bottom w:val="single" w:sz="4" w:space="0" w:color="auto"/>
              <w:right w:val="single" w:sz="4" w:space="0" w:color="auto"/>
            </w:tcBorders>
            <w:shd w:val="clear" w:color="auto" w:fill="auto"/>
            <w:noWrap/>
            <w:vAlign w:val="bottom"/>
            <w:hideMark/>
          </w:tcPr>
          <w:p w14:paraId="0DF4B926"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10.0%</w:t>
            </w:r>
          </w:p>
        </w:tc>
        <w:tc>
          <w:tcPr>
            <w:tcW w:w="1431" w:type="dxa"/>
            <w:tcBorders>
              <w:top w:val="single" w:sz="4" w:space="0" w:color="auto"/>
              <w:left w:val="single" w:sz="4" w:space="0" w:color="auto"/>
              <w:bottom w:val="single" w:sz="4" w:space="0" w:color="auto"/>
              <w:right w:val="single" w:sz="4" w:space="0" w:color="auto"/>
            </w:tcBorders>
            <w:shd w:val="clear" w:color="000000" w:fill="D4DE81"/>
            <w:noWrap/>
            <w:vAlign w:val="bottom"/>
            <w:hideMark/>
          </w:tcPr>
          <w:p w14:paraId="006FA992"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9.3%</w:t>
            </w:r>
          </w:p>
        </w:tc>
        <w:tc>
          <w:tcPr>
            <w:tcW w:w="1218" w:type="dxa"/>
            <w:tcBorders>
              <w:top w:val="single" w:sz="4" w:space="0" w:color="auto"/>
              <w:left w:val="single" w:sz="4" w:space="0" w:color="auto"/>
              <w:bottom w:val="single" w:sz="4" w:space="0" w:color="auto"/>
              <w:right w:val="single" w:sz="4" w:space="0" w:color="auto"/>
            </w:tcBorders>
            <w:shd w:val="clear" w:color="000000" w:fill="FDB77A"/>
            <w:noWrap/>
            <w:vAlign w:val="bottom"/>
            <w:hideMark/>
          </w:tcPr>
          <w:p w14:paraId="56C8F372"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10.9%</w:t>
            </w:r>
          </w:p>
        </w:tc>
        <w:tc>
          <w:tcPr>
            <w:tcW w:w="1396"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76303919"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19.3%</w:t>
            </w:r>
          </w:p>
        </w:tc>
        <w:tc>
          <w:tcPr>
            <w:tcW w:w="1701" w:type="dxa"/>
            <w:tcBorders>
              <w:top w:val="single" w:sz="4" w:space="0" w:color="auto"/>
              <w:left w:val="single" w:sz="4" w:space="0" w:color="auto"/>
              <w:bottom w:val="single" w:sz="4" w:space="0" w:color="auto"/>
              <w:right w:val="single" w:sz="4" w:space="0" w:color="auto"/>
            </w:tcBorders>
            <w:shd w:val="clear" w:color="000000" w:fill="FB9374"/>
            <w:noWrap/>
            <w:vAlign w:val="bottom"/>
            <w:hideMark/>
          </w:tcPr>
          <w:p w14:paraId="330B73D6"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625</w:t>
            </w:r>
          </w:p>
        </w:tc>
        <w:tc>
          <w:tcPr>
            <w:tcW w:w="1701" w:type="dxa"/>
            <w:tcBorders>
              <w:top w:val="single" w:sz="4" w:space="0" w:color="auto"/>
              <w:left w:val="single" w:sz="4" w:space="0" w:color="auto"/>
              <w:bottom w:val="single" w:sz="4" w:space="0" w:color="auto"/>
              <w:right w:val="single" w:sz="8" w:space="0" w:color="auto"/>
            </w:tcBorders>
            <w:shd w:val="clear" w:color="000000" w:fill="FCA477"/>
            <w:noWrap/>
            <w:vAlign w:val="bottom"/>
            <w:hideMark/>
          </w:tcPr>
          <w:p w14:paraId="5967A70B"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36.0%</w:t>
            </w:r>
          </w:p>
        </w:tc>
      </w:tr>
      <w:tr w:rsidR="005301FF" w:rsidRPr="005301FF" w14:paraId="1D180E94" w14:textId="77777777" w:rsidTr="00091692">
        <w:trPr>
          <w:trHeight w:val="285"/>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14:paraId="66E711B3"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3</w:t>
            </w:r>
          </w:p>
        </w:tc>
        <w:tc>
          <w:tcPr>
            <w:tcW w:w="1341" w:type="dxa"/>
            <w:tcBorders>
              <w:top w:val="nil"/>
              <w:left w:val="nil"/>
              <w:bottom w:val="single" w:sz="4" w:space="0" w:color="auto"/>
              <w:right w:val="single" w:sz="4" w:space="0" w:color="auto"/>
            </w:tcBorders>
            <w:shd w:val="clear" w:color="auto" w:fill="auto"/>
            <w:noWrap/>
            <w:vAlign w:val="bottom"/>
            <w:hideMark/>
          </w:tcPr>
          <w:p w14:paraId="499EE15C"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10.0%</w:t>
            </w:r>
          </w:p>
        </w:tc>
        <w:tc>
          <w:tcPr>
            <w:tcW w:w="1431"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6F385E63"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8.7%</w:t>
            </w:r>
          </w:p>
        </w:tc>
        <w:tc>
          <w:tcPr>
            <w:tcW w:w="1218"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6089DF3E"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8.6%</w:t>
            </w:r>
          </w:p>
        </w:tc>
        <w:tc>
          <w:tcPr>
            <w:tcW w:w="1396" w:type="dxa"/>
            <w:tcBorders>
              <w:top w:val="single" w:sz="4" w:space="0" w:color="auto"/>
              <w:left w:val="single" w:sz="4" w:space="0" w:color="auto"/>
              <w:bottom w:val="single" w:sz="4" w:space="0" w:color="auto"/>
              <w:right w:val="single" w:sz="4" w:space="0" w:color="auto"/>
            </w:tcBorders>
            <w:shd w:val="clear" w:color="000000" w:fill="FBEA83"/>
            <w:noWrap/>
            <w:vAlign w:val="bottom"/>
            <w:hideMark/>
          </w:tcPr>
          <w:p w14:paraId="2446414A"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16.4%</w:t>
            </w:r>
          </w:p>
        </w:tc>
        <w:tc>
          <w:tcPr>
            <w:tcW w:w="1701" w:type="dxa"/>
            <w:tcBorders>
              <w:top w:val="single" w:sz="4" w:space="0" w:color="auto"/>
              <w:left w:val="single" w:sz="4" w:space="0" w:color="auto"/>
              <w:bottom w:val="single" w:sz="4" w:space="0" w:color="auto"/>
              <w:right w:val="single" w:sz="4" w:space="0" w:color="auto"/>
            </w:tcBorders>
            <w:shd w:val="clear" w:color="000000" w:fill="FEC67D"/>
            <w:noWrap/>
            <w:vAlign w:val="bottom"/>
            <w:hideMark/>
          </w:tcPr>
          <w:p w14:paraId="36437FB6"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463</w:t>
            </w:r>
          </w:p>
        </w:tc>
        <w:tc>
          <w:tcPr>
            <w:tcW w:w="1701" w:type="dxa"/>
            <w:tcBorders>
              <w:top w:val="single" w:sz="4" w:space="0" w:color="auto"/>
              <w:left w:val="single" w:sz="4" w:space="0" w:color="auto"/>
              <w:bottom w:val="single" w:sz="4" w:space="0" w:color="auto"/>
              <w:right w:val="single" w:sz="8" w:space="0" w:color="auto"/>
            </w:tcBorders>
            <w:shd w:val="clear" w:color="000000" w:fill="FCB279"/>
            <w:noWrap/>
            <w:vAlign w:val="bottom"/>
            <w:hideMark/>
          </w:tcPr>
          <w:p w14:paraId="56873C10"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33.7%</w:t>
            </w:r>
          </w:p>
        </w:tc>
      </w:tr>
      <w:tr w:rsidR="005301FF" w:rsidRPr="005301FF" w14:paraId="01ECCEC9" w14:textId="77777777" w:rsidTr="00091692">
        <w:trPr>
          <w:trHeight w:val="285"/>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14:paraId="3EF3F24C"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4</w:t>
            </w:r>
          </w:p>
        </w:tc>
        <w:tc>
          <w:tcPr>
            <w:tcW w:w="1341" w:type="dxa"/>
            <w:tcBorders>
              <w:top w:val="nil"/>
              <w:left w:val="nil"/>
              <w:bottom w:val="single" w:sz="4" w:space="0" w:color="auto"/>
              <w:right w:val="single" w:sz="4" w:space="0" w:color="auto"/>
            </w:tcBorders>
            <w:shd w:val="clear" w:color="auto" w:fill="auto"/>
            <w:noWrap/>
            <w:vAlign w:val="bottom"/>
            <w:hideMark/>
          </w:tcPr>
          <w:p w14:paraId="2FA31FBB"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10.0%</w:t>
            </w:r>
          </w:p>
        </w:tc>
        <w:tc>
          <w:tcPr>
            <w:tcW w:w="1431" w:type="dxa"/>
            <w:tcBorders>
              <w:top w:val="single" w:sz="4" w:space="0" w:color="auto"/>
              <w:left w:val="single" w:sz="4" w:space="0" w:color="auto"/>
              <w:bottom w:val="single" w:sz="4" w:space="0" w:color="auto"/>
              <w:right w:val="single" w:sz="4" w:space="0" w:color="auto"/>
            </w:tcBorders>
            <w:shd w:val="clear" w:color="000000" w:fill="7CC57C"/>
            <w:noWrap/>
            <w:vAlign w:val="bottom"/>
            <w:hideMark/>
          </w:tcPr>
          <w:p w14:paraId="200525C6"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8.8%</w:t>
            </w:r>
          </w:p>
        </w:tc>
        <w:tc>
          <w:tcPr>
            <w:tcW w:w="1218" w:type="dxa"/>
            <w:tcBorders>
              <w:top w:val="single" w:sz="4" w:space="0" w:color="auto"/>
              <w:left w:val="single" w:sz="4" w:space="0" w:color="auto"/>
              <w:bottom w:val="single" w:sz="4" w:space="0" w:color="auto"/>
              <w:right w:val="single" w:sz="4" w:space="0" w:color="auto"/>
            </w:tcBorders>
            <w:shd w:val="clear" w:color="000000" w:fill="9ECF7E"/>
            <w:noWrap/>
            <w:vAlign w:val="bottom"/>
            <w:hideMark/>
          </w:tcPr>
          <w:p w14:paraId="0086D26F"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8.8%</w:t>
            </w:r>
          </w:p>
        </w:tc>
        <w:tc>
          <w:tcPr>
            <w:tcW w:w="1396" w:type="dxa"/>
            <w:tcBorders>
              <w:top w:val="single" w:sz="4" w:space="0" w:color="auto"/>
              <w:left w:val="single" w:sz="4" w:space="0" w:color="auto"/>
              <w:bottom w:val="single" w:sz="4" w:space="0" w:color="auto"/>
              <w:right w:val="single" w:sz="4" w:space="0" w:color="auto"/>
            </w:tcBorders>
            <w:shd w:val="clear" w:color="000000" w:fill="FFE984"/>
            <w:noWrap/>
            <w:vAlign w:val="bottom"/>
            <w:hideMark/>
          </w:tcPr>
          <w:p w14:paraId="4F4393F6"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16.5%</w:t>
            </w:r>
          </w:p>
        </w:tc>
        <w:tc>
          <w:tcPr>
            <w:tcW w:w="1701" w:type="dxa"/>
            <w:tcBorders>
              <w:top w:val="single" w:sz="4" w:space="0" w:color="auto"/>
              <w:left w:val="single" w:sz="4" w:space="0" w:color="auto"/>
              <w:bottom w:val="single" w:sz="4" w:space="0" w:color="auto"/>
              <w:right w:val="single" w:sz="4" w:space="0" w:color="auto"/>
            </w:tcBorders>
            <w:shd w:val="clear" w:color="000000" w:fill="FFE583"/>
            <w:noWrap/>
            <w:vAlign w:val="bottom"/>
            <w:hideMark/>
          </w:tcPr>
          <w:p w14:paraId="6E902194"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367</w:t>
            </w:r>
          </w:p>
        </w:tc>
        <w:tc>
          <w:tcPr>
            <w:tcW w:w="1701" w:type="dxa"/>
            <w:tcBorders>
              <w:top w:val="single" w:sz="4" w:space="0" w:color="auto"/>
              <w:left w:val="single" w:sz="4" w:space="0" w:color="auto"/>
              <w:bottom w:val="single" w:sz="4" w:space="0" w:color="auto"/>
              <w:right w:val="single" w:sz="8" w:space="0" w:color="auto"/>
            </w:tcBorders>
            <w:shd w:val="clear" w:color="000000" w:fill="FFE082"/>
            <w:noWrap/>
            <w:vAlign w:val="bottom"/>
            <w:hideMark/>
          </w:tcPr>
          <w:p w14:paraId="2A650E92"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26.1%</w:t>
            </w:r>
          </w:p>
        </w:tc>
      </w:tr>
      <w:tr w:rsidR="005301FF" w:rsidRPr="005301FF" w14:paraId="79EA13DD" w14:textId="77777777" w:rsidTr="00091692">
        <w:trPr>
          <w:trHeight w:val="285"/>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14:paraId="74C59D07"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5</w:t>
            </w:r>
          </w:p>
        </w:tc>
        <w:tc>
          <w:tcPr>
            <w:tcW w:w="1341" w:type="dxa"/>
            <w:tcBorders>
              <w:top w:val="nil"/>
              <w:left w:val="nil"/>
              <w:bottom w:val="single" w:sz="4" w:space="0" w:color="auto"/>
              <w:right w:val="single" w:sz="4" w:space="0" w:color="auto"/>
            </w:tcBorders>
            <w:shd w:val="clear" w:color="auto" w:fill="auto"/>
            <w:noWrap/>
            <w:vAlign w:val="bottom"/>
            <w:hideMark/>
          </w:tcPr>
          <w:p w14:paraId="5C261599"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10.0%</w:t>
            </w:r>
          </w:p>
        </w:tc>
        <w:tc>
          <w:tcPr>
            <w:tcW w:w="1431" w:type="dxa"/>
            <w:tcBorders>
              <w:top w:val="single" w:sz="4" w:space="0" w:color="auto"/>
              <w:left w:val="single" w:sz="4" w:space="0" w:color="auto"/>
              <w:bottom w:val="single" w:sz="4" w:space="0" w:color="auto"/>
              <w:right w:val="single" w:sz="4" w:space="0" w:color="auto"/>
            </w:tcBorders>
            <w:shd w:val="clear" w:color="000000" w:fill="FFE183"/>
            <w:noWrap/>
            <w:vAlign w:val="bottom"/>
            <w:hideMark/>
          </w:tcPr>
          <w:p w14:paraId="3C176952"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9.8%</w:t>
            </w:r>
          </w:p>
        </w:tc>
        <w:tc>
          <w:tcPr>
            <w:tcW w:w="1218" w:type="dxa"/>
            <w:tcBorders>
              <w:top w:val="single" w:sz="4" w:space="0" w:color="auto"/>
              <w:left w:val="single" w:sz="4" w:space="0" w:color="auto"/>
              <w:bottom w:val="single" w:sz="4" w:space="0" w:color="auto"/>
              <w:right w:val="single" w:sz="4" w:space="0" w:color="auto"/>
            </w:tcBorders>
            <w:shd w:val="clear" w:color="000000" w:fill="F2E783"/>
            <w:noWrap/>
            <w:vAlign w:val="bottom"/>
            <w:hideMark/>
          </w:tcPr>
          <w:p w14:paraId="6930475A"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9.1%</w:t>
            </w:r>
          </w:p>
        </w:tc>
        <w:tc>
          <w:tcPr>
            <w:tcW w:w="1396" w:type="dxa"/>
            <w:tcBorders>
              <w:top w:val="single" w:sz="4" w:space="0" w:color="auto"/>
              <w:left w:val="single" w:sz="4" w:space="0" w:color="auto"/>
              <w:bottom w:val="single" w:sz="4" w:space="0" w:color="auto"/>
              <w:right w:val="single" w:sz="4" w:space="0" w:color="auto"/>
            </w:tcBorders>
            <w:shd w:val="clear" w:color="000000" w:fill="ADD37F"/>
            <w:noWrap/>
            <w:vAlign w:val="bottom"/>
            <w:hideMark/>
          </w:tcPr>
          <w:p w14:paraId="7C2E3C5B"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15.3%</w:t>
            </w:r>
          </w:p>
        </w:tc>
        <w:tc>
          <w:tcPr>
            <w:tcW w:w="1701" w:type="dxa"/>
            <w:tcBorders>
              <w:top w:val="single" w:sz="4" w:space="0" w:color="auto"/>
              <w:left w:val="single" w:sz="4" w:space="0" w:color="auto"/>
              <w:bottom w:val="single" w:sz="4" w:space="0" w:color="auto"/>
              <w:right w:val="single" w:sz="4" w:space="0" w:color="auto"/>
            </w:tcBorders>
            <w:shd w:val="clear" w:color="000000" w:fill="FED881"/>
            <w:noWrap/>
            <w:vAlign w:val="bottom"/>
            <w:hideMark/>
          </w:tcPr>
          <w:p w14:paraId="14CE6825"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407</w:t>
            </w:r>
          </w:p>
        </w:tc>
        <w:tc>
          <w:tcPr>
            <w:tcW w:w="1701" w:type="dxa"/>
            <w:tcBorders>
              <w:top w:val="single" w:sz="4" w:space="0" w:color="auto"/>
              <w:left w:val="single" w:sz="4" w:space="0" w:color="auto"/>
              <w:bottom w:val="single" w:sz="4" w:space="0" w:color="auto"/>
              <w:right w:val="single" w:sz="8" w:space="0" w:color="auto"/>
            </w:tcBorders>
            <w:shd w:val="clear" w:color="000000" w:fill="FED480"/>
            <w:noWrap/>
            <w:vAlign w:val="bottom"/>
            <w:hideMark/>
          </w:tcPr>
          <w:p w14:paraId="4D7E1B4C"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28.1%</w:t>
            </w:r>
          </w:p>
        </w:tc>
      </w:tr>
      <w:tr w:rsidR="005301FF" w:rsidRPr="005301FF" w14:paraId="40068F2B" w14:textId="77777777" w:rsidTr="00091692">
        <w:trPr>
          <w:trHeight w:val="285"/>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14:paraId="2408FCA6"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6</w:t>
            </w:r>
          </w:p>
        </w:tc>
        <w:tc>
          <w:tcPr>
            <w:tcW w:w="1341" w:type="dxa"/>
            <w:tcBorders>
              <w:top w:val="nil"/>
              <w:left w:val="nil"/>
              <w:bottom w:val="single" w:sz="4" w:space="0" w:color="auto"/>
              <w:right w:val="single" w:sz="4" w:space="0" w:color="auto"/>
            </w:tcBorders>
            <w:shd w:val="clear" w:color="auto" w:fill="auto"/>
            <w:noWrap/>
            <w:vAlign w:val="bottom"/>
            <w:hideMark/>
          </w:tcPr>
          <w:p w14:paraId="07D12D6C"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10.0%</w:t>
            </w:r>
          </w:p>
        </w:tc>
        <w:tc>
          <w:tcPr>
            <w:tcW w:w="1431" w:type="dxa"/>
            <w:tcBorders>
              <w:top w:val="single" w:sz="4" w:space="0" w:color="auto"/>
              <w:left w:val="single" w:sz="4" w:space="0" w:color="auto"/>
              <w:bottom w:val="single" w:sz="4" w:space="0" w:color="auto"/>
              <w:right w:val="single" w:sz="4" w:space="0" w:color="auto"/>
            </w:tcBorders>
            <w:shd w:val="clear" w:color="000000" w:fill="FFDC81"/>
            <w:noWrap/>
            <w:vAlign w:val="bottom"/>
            <w:hideMark/>
          </w:tcPr>
          <w:p w14:paraId="7EC835CA"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10.0%</w:t>
            </w:r>
          </w:p>
        </w:tc>
        <w:tc>
          <w:tcPr>
            <w:tcW w:w="1218" w:type="dxa"/>
            <w:tcBorders>
              <w:top w:val="single" w:sz="4" w:space="0" w:color="auto"/>
              <w:left w:val="single" w:sz="4" w:space="0" w:color="auto"/>
              <w:bottom w:val="single" w:sz="4" w:space="0" w:color="auto"/>
              <w:right w:val="single" w:sz="4" w:space="0" w:color="auto"/>
            </w:tcBorders>
            <w:shd w:val="clear" w:color="000000" w:fill="83C77C"/>
            <w:noWrap/>
            <w:vAlign w:val="bottom"/>
            <w:hideMark/>
          </w:tcPr>
          <w:p w14:paraId="61C47101"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8.7%</w:t>
            </w:r>
          </w:p>
        </w:tc>
        <w:tc>
          <w:tcPr>
            <w:tcW w:w="1396" w:type="dxa"/>
            <w:tcBorders>
              <w:top w:val="single" w:sz="4" w:space="0" w:color="auto"/>
              <w:left w:val="single" w:sz="4" w:space="0" w:color="auto"/>
              <w:bottom w:val="single" w:sz="4" w:space="0" w:color="auto"/>
              <w:right w:val="single" w:sz="4" w:space="0" w:color="auto"/>
            </w:tcBorders>
            <w:shd w:val="clear" w:color="000000" w:fill="75C37C"/>
            <w:noWrap/>
            <w:vAlign w:val="bottom"/>
            <w:hideMark/>
          </w:tcPr>
          <w:p w14:paraId="48301F7C"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14.5%</w:t>
            </w:r>
          </w:p>
        </w:tc>
        <w:tc>
          <w:tcPr>
            <w:tcW w:w="1701" w:type="dxa"/>
            <w:tcBorders>
              <w:top w:val="single" w:sz="4" w:space="0" w:color="auto"/>
              <w:left w:val="single" w:sz="4" w:space="0" w:color="auto"/>
              <w:bottom w:val="single" w:sz="4" w:space="0" w:color="auto"/>
              <w:right w:val="single" w:sz="4" w:space="0" w:color="auto"/>
            </w:tcBorders>
            <w:shd w:val="clear" w:color="000000" w:fill="E5E382"/>
            <w:noWrap/>
            <w:vAlign w:val="bottom"/>
            <w:hideMark/>
          </w:tcPr>
          <w:p w14:paraId="7934B601"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309</w:t>
            </w:r>
          </w:p>
        </w:tc>
        <w:tc>
          <w:tcPr>
            <w:tcW w:w="1701" w:type="dxa"/>
            <w:tcBorders>
              <w:top w:val="single" w:sz="4" w:space="0" w:color="auto"/>
              <w:left w:val="single" w:sz="4" w:space="0" w:color="auto"/>
              <w:bottom w:val="single" w:sz="4" w:space="0" w:color="auto"/>
              <w:right w:val="single" w:sz="8" w:space="0" w:color="auto"/>
            </w:tcBorders>
            <w:shd w:val="clear" w:color="000000" w:fill="EDE582"/>
            <w:noWrap/>
            <w:vAlign w:val="bottom"/>
            <w:hideMark/>
          </w:tcPr>
          <w:p w14:paraId="76373C05"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22.2%</w:t>
            </w:r>
          </w:p>
        </w:tc>
      </w:tr>
      <w:tr w:rsidR="005301FF" w:rsidRPr="005301FF" w14:paraId="4B576C13" w14:textId="77777777" w:rsidTr="00091692">
        <w:trPr>
          <w:trHeight w:val="285"/>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14:paraId="56AF2821"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7</w:t>
            </w:r>
          </w:p>
        </w:tc>
        <w:tc>
          <w:tcPr>
            <w:tcW w:w="1341" w:type="dxa"/>
            <w:tcBorders>
              <w:top w:val="nil"/>
              <w:left w:val="nil"/>
              <w:bottom w:val="single" w:sz="4" w:space="0" w:color="auto"/>
              <w:right w:val="single" w:sz="4" w:space="0" w:color="auto"/>
            </w:tcBorders>
            <w:shd w:val="clear" w:color="auto" w:fill="auto"/>
            <w:noWrap/>
            <w:vAlign w:val="bottom"/>
            <w:hideMark/>
          </w:tcPr>
          <w:p w14:paraId="18A36D15"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10.0%</w:t>
            </w:r>
          </w:p>
        </w:tc>
        <w:tc>
          <w:tcPr>
            <w:tcW w:w="1431" w:type="dxa"/>
            <w:tcBorders>
              <w:top w:val="single" w:sz="4" w:space="0" w:color="auto"/>
              <w:left w:val="single" w:sz="4" w:space="0" w:color="auto"/>
              <w:bottom w:val="single" w:sz="4" w:space="0" w:color="auto"/>
              <w:right w:val="single" w:sz="4" w:space="0" w:color="auto"/>
            </w:tcBorders>
            <w:shd w:val="clear" w:color="000000" w:fill="9CCE7E"/>
            <w:noWrap/>
            <w:vAlign w:val="bottom"/>
            <w:hideMark/>
          </w:tcPr>
          <w:p w14:paraId="509C721B"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9.0%</w:t>
            </w:r>
          </w:p>
        </w:tc>
        <w:tc>
          <w:tcPr>
            <w:tcW w:w="1218" w:type="dxa"/>
            <w:tcBorders>
              <w:top w:val="single" w:sz="4" w:space="0" w:color="auto"/>
              <w:left w:val="single" w:sz="4" w:space="0" w:color="auto"/>
              <w:bottom w:val="single" w:sz="4" w:space="0" w:color="auto"/>
              <w:right w:val="single" w:sz="4" w:space="0" w:color="auto"/>
            </w:tcBorders>
            <w:shd w:val="clear" w:color="000000" w:fill="FFEA84"/>
            <w:noWrap/>
            <w:vAlign w:val="bottom"/>
            <w:hideMark/>
          </w:tcPr>
          <w:p w14:paraId="1CD2477C"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9.2%</w:t>
            </w:r>
          </w:p>
        </w:tc>
        <w:tc>
          <w:tcPr>
            <w:tcW w:w="1396" w:type="dxa"/>
            <w:tcBorders>
              <w:top w:val="single" w:sz="4" w:space="0" w:color="auto"/>
              <w:left w:val="single" w:sz="4" w:space="0" w:color="auto"/>
              <w:bottom w:val="single" w:sz="4" w:space="0" w:color="auto"/>
              <w:right w:val="single" w:sz="4" w:space="0" w:color="auto"/>
            </w:tcBorders>
            <w:shd w:val="clear" w:color="000000" w:fill="FFDB81"/>
            <w:noWrap/>
            <w:vAlign w:val="bottom"/>
            <w:hideMark/>
          </w:tcPr>
          <w:p w14:paraId="4A0D1313"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16.8%</w:t>
            </w:r>
          </w:p>
        </w:tc>
        <w:tc>
          <w:tcPr>
            <w:tcW w:w="1701" w:type="dxa"/>
            <w:tcBorders>
              <w:top w:val="single" w:sz="4" w:space="0" w:color="auto"/>
              <w:left w:val="single" w:sz="4" w:space="0" w:color="auto"/>
              <w:bottom w:val="single" w:sz="4" w:space="0" w:color="auto"/>
              <w:right w:val="single" w:sz="4" w:space="0" w:color="auto"/>
            </w:tcBorders>
            <w:shd w:val="clear" w:color="000000" w:fill="D3DE81"/>
            <w:noWrap/>
            <w:vAlign w:val="bottom"/>
            <w:hideMark/>
          </w:tcPr>
          <w:p w14:paraId="72A18E20"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284</w:t>
            </w:r>
          </w:p>
        </w:tc>
        <w:tc>
          <w:tcPr>
            <w:tcW w:w="1701" w:type="dxa"/>
            <w:tcBorders>
              <w:top w:val="single" w:sz="4" w:space="0" w:color="auto"/>
              <w:left w:val="single" w:sz="4" w:space="0" w:color="auto"/>
              <w:bottom w:val="single" w:sz="4" w:space="0" w:color="auto"/>
              <w:right w:val="single" w:sz="8" w:space="0" w:color="auto"/>
            </w:tcBorders>
            <w:shd w:val="clear" w:color="000000" w:fill="D4DE81"/>
            <w:noWrap/>
            <w:vAlign w:val="bottom"/>
            <w:hideMark/>
          </w:tcPr>
          <w:p w14:paraId="3AD653BE"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19.4%</w:t>
            </w:r>
          </w:p>
        </w:tc>
      </w:tr>
      <w:tr w:rsidR="005301FF" w:rsidRPr="005301FF" w14:paraId="739D6268" w14:textId="77777777" w:rsidTr="00091692">
        <w:trPr>
          <w:trHeight w:val="285"/>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14:paraId="73D9FCC0"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8</w:t>
            </w:r>
          </w:p>
        </w:tc>
        <w:tc>
          <w:tcPr>
            <w:tcW w:w="1341" w:type="dxa"/>
            <w:tcBorders>
              <w:top w:val="nil"/>
              <w:left w:val="nil"/>
              <w:bottom w:val="single" w:sz="4" w:space="0" w:color="auto"/>
              <w:right w:val="single" w:sz="4" w:space="0" w:color="auto"/>
            </w:tcBorders>
            <w:shd w:val="clear" w:color="auto" w:fill="auto"/>
            <w:noWrap/>
            <w:vAlign w:val="bottom"/>
            <w:hideMark/>
          </w:tcPr>
          <w:p w14:paraId="0CC24884"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10.0%</w:t>
            </w:r>
          </w:p>
        </w:tc>
        <w:tc>
          <w:tcPr>
            <w:tcW w:w="1431"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14649FAF"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12.8%</w:t>
            </w:r>
          </w:p>
        </w:tc>
        <w:tc>
          <w:tcPr>
            <w:tcW w:w="1218"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734ECB19"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13.4%</w:t>
            </w:r>
          </w:p>
        </w:tc>
        <w:tc>
          <w:tcPr>
            <w:tcW w:w="1396" w:type="dxa"/>
            <w:tcBorders>
              <w:top w:val="single" w:sz="4" w:space="0" w:color="auto"/>
              <w:left w:val="single" w:sz="4" w:space="0" w:color="auto"/>
              <w:bottom w:val="single" w:sz="4" w:space="0" w:color="auto"/>
              <w:right w:val="single" w:sz="4" w:space="0" w:color="auto"/>
            </w:tcBorders>
            <w:shd w:val="clear" w:color="000000" w:fill="FDC37D"/>
            <w:noWrap/>
            <w:vAlign w:val="bottom"/>
            <w:hideMark/>
          </w:tcPr>
          <w:p w14:paraId="30D265B6"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17.3%</w:t>
            </w:r>
          </w:p>
        </w:tc>
        <w:tc>
          <w:tcPr>
            <w:tcW w:w="1701" w:type="dxa"/>
            <w:tcBorders>
              <w:top w:val="single" w:sz="4" w:space="0" w:color="auto"/>
              <w:left w:val="single" w:sz="4" w:space="0" w:color="auto"/>
              <w:bottom w:val="single" w:sz="4" w:space="0" w:color="auto"/>
              <w:right w:val="single" w:sz="4" w:space="0" w:color="auto"/>
            </w:tcBorders>
            <w:shd w:val="clear" w:color="000000" w:fill="EFE683"/>
            <w:noWrap/>
            <w:vAlign w:val="bottom"/>
            <w:hideMark/>
          </w:tcPr>
          <w:p w14:paraId="1294B2B0"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324</w:t>
            </w:r>
          </w:p>
        </w:tc>
        <w:tc>
          <w:tcPr>
            <w:tcW w:w="1701" w:type="dxa"/>
            <w:tcBorders>
              <w:top w:val="single" w:sz="4" w:space="0" w:color="auto"/>
              <w:left w:val="single" w:sz="4" w:space="0" w:color="auto"/>
              <w:bottom w:val="single" w:sz="4" w:space="0" w:color="auto"/>
              <w:right w:val="single" w:sz="8" w:space="0" w:color="auto"/>
            </w:tcBorders>
            <w:shd w:val="clear" w:color="000000" w:fill="AED37F"/>
            <w:noWrap/>
            <w:vAlign w:val="bottom"/>
            <w:hideMark/>
          </w:tcPr>
          <w:p w14:paraId="6D97CCEC"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15.1%</w:t>
            </w:r>
          </w:p>
        </w:tc>
      </w:tr>
      <w:tr w:rsidR="005301FF" w:rsidRPr="005301FF" w14:paraId="23FFC7D4" w14:textId="77777777" w:rsidTr="00091692">
        <w:trPr>
          <w:trHeight w:val="285"/>
        </w:trPr>
        <w:tc>
          <w:tcPr>
            <w:tcW w:w="841" w:type="dxa"/>
            <w:tcBorders>
              <w:top w:val="nil"/>
              <w:left w:val="single" w:sz="8" w:space="0" w:color="auto"/>
              <w:bottom w:val="single" w:sz="4" w:space="0" w:color="auto"/>
              <w:right w:val="single" w:sz="4" w:space="0" w:color="auto"/>
            </w:tcBorders>
            <w:shd w:val="clear" w:color="auto" w:fill="auto"/>
            <w:noWrap/>
            <w:vAlign w:val="bottom"/>
            <w:hideMark/>
          </w:tcPr>
          <w:p w14:paraId="77D5268A"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9</w:t>
            </w:r>
          </w:p>
        </w:tc>
        <w:tc>
          <w:tcPr>
            <w:tcW w:w="1341" w:type="dxa"/>
            <w:tcBorders>
              <w:top w:val="nil"/>
              <w:left w:val="nil"/>
              <w:bottom w:val="single" w:sz="4" w:space="0" w:color="auto"/>
              <w:right w:val="single" w:sz="4" w:space="0" w:color="auto"/>
            </w:tcBorders>
            <w:shd w:val="clear" w:color="auto" w:fill="auto"/>
            <w:noWrap/>
            <w:vAlign w:val="bottom"/>
            <w:hideMark/>
          </w:tcPr>
          <w:p w14:paraId="47347897"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10.0%</w:t>
            </w:r>
          </w:p>
        </w:tc>
        <w:tc>
          <w:tcPr>
            <w:tcW w:w="1431" w:type="dxa"/>
            <w:tcBorders>
              <w:top w:val="single" w:sz="4" w:space="0" w:color="auto"/>
              <w:left w:val="single" w:sz="4" w:space="0" w:color="auto"/>
              <w:bottom w:val="single" w:sz="4" w:space="0" w:color="auto"/>
              <w:right w:val="single" w:sz="4" w:space="0" w:color="auto"/>
            </w:tcBorders>
            <w:shd w:val="clear" w:color="000000" w:fill="FDC47D"/>
            <w:noWrap/>
            <w:vAlign w:val="bottom"/>
            <w:hideMark/>
          </w:tcPr>
          <w:p w14:paraId="43030775"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10.6%</w:t>
            </w:r>
          </w:p>
        </w:tc>
        <w:tc>
          <w:tcPr>
            <w:tcW w:w="1218" w:type="dxa"/>
            <w:tcBorders>
              <w:top w:val="single" w:sz="4" w:space="0" w:color="auto"/>
              <w:left w:val="single" w:sz="4" w:space="0" w:color="auto"/>
              <w:bottom w:val="single" w:sz="4" w:space="0" w:color="auto"/>
              <w:right w:val="single" w:sz="4" w:space="0" w:color="auto"/>
            </w:tcBorders>
            <w:shd w:val="clear" w:color="000000" w:fill="ECE582"/>
            <w:noWrap/>
            <w:vAlign w:val="bottom"/>
            <w:hideMark/>
          </w:tcPr>
          <w:p w14:paraId="6641DBBC"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9.1%</w:t>
            </w:r>
          </w:p>
        </w:tc>
        <w:tc>
          <w:tcPr>
            <w:tcW w:w="1396"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07979909"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14.2%</w:t>
            </w:r>
          </w:p>
        </w:tc>
        <w:tc>
          <w:tcPr>
            <w:tcW w:w="1701" w:type="dxa"/>
            <w:tcBorders>
              <w:top w:val="single" w:sz="4" w:space="0" w:color="auto"/>
              <w:left w:val="single" w:sz="4" w:space="0" w:color="auto"/>
              <w:bottom w:val="single" w:sz="4" w:space="0" w:color="auto"/>
              <w:right w:val="single" w:sz="4" w:space="0" w:color="auto"/>
            </w:tcBorders>
            <w:shd w:val="clear" w:color="000000" w:fill="8CCA7D"/>
            <w:noWrap/>
            <w:vAlign w:val="bottom"/>
            <w:hideMark/>
          </w:tcPr>
          <w:p w14:paraId="5DD6AAA9"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186</w:t>
            </w:r>
          </w:p>
        </w:tc>
        <w:tc>
          <w:tcPr>
            <w:tcW w:w="1701" w:type="dxa"/>
            <w:tcBorders>
              <w:top w:val="single" w:sz="4" w:space="0" w:color="auto"/>
              <w:left w:val="single" w:sz="4" w:space="0" w:color="auto"/>
              <w:bottom w:val="single" w:sz="4" w:space="0" w:color="auto"/>
              <w:right w:val="single" w:sz="8" w:space="0" w:color="auto"/>
            </w:tcBorders>
            <w:shd w:val="clear" w:color="000000" w:fill="99CD7E"/>
            <w:noWrap/>
            <w:vAlign w:val="bottom"/>
            <w:hideMark/>
          </w:tcPr>
          <w:p w14:paraId="0F5DFEAC"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12.8%</w:t>
            </w:r>
          </w:p>
        </w:tc>
      </w:tr>
      <w:tr w:rsidR="005301FF" w:rsidRPr="005301FF" w14:paraId="607A4EE8" w14:textId="77777777" w:rsidTr="00091692">
        <w:trPr>
          <w:trHeight w:val="293"/>
        </w:trPr>
        <w:tc>
          <w:tcPr>
            <w:tcW w:w="841" w:type="dxa"/>
            <w:tcBorders>
              <w:top w:val="nil"/>
              <w:left w:val="single" w:sz="8" w:space="0" w:color="auto"/>
              <w:bottom w:val="single" w:sz="8" w:space="0" w:color="auto"/>
              <w:right w:val="single" w:sz="4" w:space="0" w:color="auto"/>
            </w:tcBorders>
            <w:shd w:val="clear" w:color="auto" w:fill="auto"/>
            <w:noWrap/>
            <w:vAlign w:val="bottom"/>
            <w:hideMark/>
          </w:tcPr>
          <w:p w14:paraId="26A1E476"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10</w:t>
            </w:r>
          </w:p>
        </w:tc>
        <w:tc>
          <w:tcPr>
            <w:tcW w:w="1341" w:type="dxa"/>
            <w:tcBorders>
              <w:top w:val="nil"/>
              <w:left w:val="nil"/>
              <w:bottom w:val="single" w:sz="8" w:space="0" w:color="auto"/>
              <w:right w:val="single" w:sz="4" w:space="0" w:color="auto"/>
            </w:tcBorders>
            <w:shd w:val="clear" w:color="auto" w:fill="auto"/>
            <w:noWrap/>
            <w:vAlign w:val="bottom"/>
            <w:hideMark/>
          </w:tcPr>
          <w:p w14:paraId="2BC6518B"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10.0%</w:t>
            </w:r>
          </w:p>
        </w:tc>
        <w:tc>
          <w:tcPr>
            <w:tcW w:w="1431" w:type="dxa"/>
            <w:tcBorders>
              <w:top w:val="single" w:sz="4" w:space="0" w:color="auto"/>
              <w:left w:val="single" w:sz="4" w:space="0" w:color="auto"/>
              <w:bottom w:val="single" w:sz="8" w:space="0" w:color="auto"/>
              <w:right w:val="single" w:sz="4" w:space="0" w:color="auto"/>
            </w:tcBorders>
            <w:shd w:val="clear" w:color="000000" w:fill="FA8D72"/>
            <w:noWrap/>
            <w:vAlign w:val="bottom"/>
            <w:hideMark/>
          </w:tcPr>
          <w:p w14:paraId="723310B1"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11.9%</w:t>
            </w:r>
          </w:p>
        </w:tc>
        <w:tc>
          <w:tcPr>
            <w:tcW w:w="1218" w:type="dxa"/>
            <w:tcBorders>
              <w:top w:val="single" w:sz="4" w:space="0" w:color="auto"/>
              <w:left w:val="single" w:sz="4" w:space="0" w:color="auto"/>
              <w:bottom w:val="single" w:sz="8" w:space="0" w:color="auto"/>
              <w:right w:val="single" w:sz="4" w:space="0" w:color="auto"/>
            </w:tcBorders>
            <w:shd w:val="clear" w:color="000000" w:fill="FB9B75"/>
            <w:noWrap/>
            <w:vAlign w:val="bottom"/>
            <w:hideMark/>
          </w:tcPr>
          <w:p w14:paraId="2C145648"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11.8%</w:t>
            </w:r>
          </w:p>
        </w:tc>
        <w:tc>
          <w:tcPr>
            <w:tcW w:w="1396" w:type="dxa"/>
            <w:tcBorders>
              <w:top w:val="single" w:sz="4" w:space="0" w:color="auto"/>
              <w:left w:val="single" w:sz="4" w:space="0" w:color="auto"/>
              <w:bottom w:val="single" w:sz="8" w:space="0" w:color="auto"/>
              <w:right w:val="single" w:sz="4" w:space="0" w:color="auto"/>
            </w:tcBorders>
            <w:shd w:val="clear" w:color="000000" w:fill="F7E883"/>
            <w:noWrap/>
            <w:vAlign w:val="bottom"/>
            <w:hideMark/>
          </w:tcPr>
          <w:p w14:paraId="233EC4ED"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16.4%</w:t>
            </w:r>
          </w:p>
        </w:tc>
        <w:tc>
          <w:tcPr>
            <w:tcW w:w="1701" w:type="dxa"/>
            <w:tcBorders>
              <w:top w:val="single" w:sz="4" w:space="0" w:color="auto"/>
              <w:left w:val="single" w:sz="4" w:space="0" w:color="auto"/>
              <w:bottom w:val="single" w:sz="8" w:space="0" w:color="auto"/>
              <w:right w:val="single" w:sz="4" w:space="0" w:color="auto"/>
            </w:tcBorders>
            <w:shd w:val="clear" w:color="000000" w:fill="63BE7B"/>
            <w:noWrap/>
            <w:vAlign w:val="bottom"/>
            <w:hideMark/>
          </w:tcPr>
          <w:p w14:paraId="3A15777D"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127</w:t>
            </w:r>
          </w:p>
        </w:tc>
        <w:tc>
          <w:tcPr>
            <w:tcW w:w="1701" w:type="dxa"/>
            <w:tcBorders>
              <w:top w:val="single" w:sz="4" w:space="0" w:color="auto"/>
              <w:left w:val="single" w:sz="4" w:space="0" w:color="auto"/>
              <w:bottom w:val="single" w:sz="8" w:space="0" w:color="auto"/>
              <w:right w:val="single" w:sz="8" w:space="0" w:color="auto"/>
            </w:tcBorders>
            <w:shd w:val="clear" w:color="000000" w:fill="63BE7B"/>
            <w:noWrap/>
            <w:vAlign w:val="bottom"/>
            <w:hideMark/>
          </w:tcPr>
          <w:p w14:paraId="6495C382" w14:textId="77777777" w:rsidR="005301FF" w:rsidRPr="005301FF" w:rsidRDefault="005301FF" w:rsidP="005301FF">
            <w:pPr>
              <w:spacing w:before="0" w:after="0" w:line="240" w:lineRule="auto"/>
              <w:jc w:val="center"/>
              <w:rPr>
                <w:rFonts w:eastAsia="Times New Roman" w:cstheme="minorHAnsi"/>
                <w:color w:val="000000"/>
                <w:lang w:eastAsia="en-GB"/>
              </w:rPr>
            </w:pPr>
            <w:r w:rsidRPr="005301FF">
              <w:rPr>
                <w:rFonts w:eastAsia="Times New Roman" w:cstheme="minorHAnsi"/>
                <w:color w:val="000000"/>
                <w:lang w:eastAsia="en-GB"/>
              </w:rPr>
              <w:t>6.8%</w:t>
            </w:r>
          </w:p>
        </w:tc>
      </w:tr>
    </w:tbl>
    <w:p w14:paraId="561B0427" w14:textId="1DC0DF91" w:rsidR="00F875EB" w:rsidRDefault="00F875EB" w:rsidP="005F5C8E">
      <w:pPr>
        <w:spacing w:before="240"/>
      </w:pPr>
      <w:r w:rsidRPr="001A5241">
        <w:rPr>
          <w:b/>
          <w:bCs/>
          <w:color w:val="0070C0"/>
        </w:rPr>
        <w:t>Figure 1</w:t>
      </w:r>
      <w:r>
        <w:t xml:space="preserve"> shows the distribution of children living in poverty within Moray</w:t>
      </w:r>
      <w:r w:rsidR="0096760B">
        <w:t xml:space="preserve"> and the number of children in poverty in each Moray decile.  </w:t>
      </w:r>
      <w:r>
        <w:t xml:space="preserve"> There are </w:t>
      </w:r>
      <w:r w:rsidR="001C74F3">
        <w:t>almost three times more</w:t>
      </w:r>
      <w:r>
        <w:t xml:space="preserve"> children in poverty living in the </w:t>
      </w:r>
      <w:r w:rsidR="00CA3F01">
        <w:t xml:space="preserve">30% (1,846) </w:t>
      </w:r>
      <w:r w:rsidR="001C74F3">
        <w:t>most</w:t>
      </w:r>
      <w:r>
        <w:t xml:space="preserve"> deprived </w:t>
      </w:r>
      <w:r w:rsidR="00CA3F01">
        <w:t xml:space="preserve">areas </w:t>
      </w:r>
      <w:r>
        <w:t xml:space="preserve">than there are living in the </w:t>
      </w:r>
      <w:r w:rsidR="00CA3F01">
        <w:t xml:space="preserve">30% (637) </w:t>
      </w:r>
      <w:r w:rsidR="001C74F3">
        <w:t>least</w:t>
      </w:r>
      <w:r>
        <w:t xml:space="preserve"> deprived</w:t>
      </w:r>
      <w:r w:rsidR="00CA3F01">
        <w:t>.</w:t>
      </w:r>
      <w:r w:rsidR="00B46029">
        <w:t xml:space="preserve"> The linkages between deprivation and poverty are clear, as Internal deprivation decreases so does proportionate poverty.</w:t>
      </w:r>
      <w:r>
        <w:t xml:space="preserve"> </w:t>
      </w:r>
      <w:r w:rsidR="001C74F3">
        <w:t>This provides the strongest argument for directing resources to mitigate the impact of poverty towards</w:t>
      </w:r>
      <w:r w:rsidR="00147378">
        <w:t xml:space="preserve"> those</w:t>
      </w:r>
      <w:r w:rsidR="001C74F3">
        <w:t xml:space="preserve"> areas of highest deprivation within Moray.</w:t>
      </w:r>
    </w:p>
    <w:p w14:paraId="1C398CDB" w14:textId="4F96D7CC" w:rsidR="007F38A1" w:rsidRDefault="007F38A1" w:rsidP="007F38A1">
      <w:pPr>
        <w:pStyle w:val="Caption"/>
        <w:keepNext/>
        <w:spacing w:after="0"/>
      </w:pPr>
      <w:r>
        <w:t xml:space="preserve">Figure </w:t>
      </w:r>
      <w:r>
        <w:fldChar w:fldCharType="begin"/>
      </w:r>
      <w:r>
        <w:instrText xml:space="preserve"> SEQ Figure \* ARABIC </w:instrText>
      </w:r>
      <w:r>
        <w:fldChar w:fldCharType="separate"/>
      </w:r>
      <w:r w:rsidR="00B65922">
        <w:rPr>
          <w:noProof/>
        </w:rPr>
        <w:t>1</w:t>
      </w:r>
      <w:r>
        <w:fldChar w:fldCharType="end"/>
      </w:r>
      <w:r>
        <w:t xml:space="preserve"> - Poverty &amp; </w:t>
      </w:r>
      <w:r w:rsidR="001C74F3">
        <w:t>Internal Deprivation</w:t>
      </w:r>
      <w:r>
        <w:t xml:space="preserve"> Relationship</w:t>
      </w:r>
    </w:p>
    <w:p w14:paraId="41C341C6" w14:textId="6C0AB63C" w:rsidR="007F38A1" w:rsidRDefault="001C74F3" w:rsidP="007F38A1">
      <w:pPr>
        <w:spacing w:before="0"/>
      </w:pPr>
      <w:r w:rsidRPr="001C74F3">
        <w:rPr>
          <w:noProof/>
          <w:shd w:val="clear" w:color="auto" w:fill="C00000"/>
        </w:rPr>
        <w:drawing>
          <wp:inline distT="0" distB="0" distL="0" distR="0" wp14:anchorId="71FE04C5" wp14:editId="51B13AAD">
            <wp:extent cx="6162675" cy="3356324"/>
            <wp:effectExtent l="0" t="0" r="0" b="0"/>
            <wp:docPr id="1647041054" name="Chart 1">
              <a:extLst xmlns:a="http://schemas.openxmlformats.org/drawingml/2006/main">
                <a:ext uri="{FF2B5EF4-FFF2-40B4-BE49-F238E27FC236}">
                  <a16:creationId xmlns:a16="http://schemas.microsoft.com/office/drawing/2014/main" id="{BF9857A6-AAE9-442D-8FDA-3B47A3AC82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716CB3B" w14:textId="77777777" w:rsidR="001A5241" w:rsidRDefault="001A5241">
      <w:pPr>
        <w:rPr>
          <w:caps/>
          <w:spacing w:val="15"/>
        </w:rPr>
      </w:pPr>
      <w:r>
        <w:br w:type="page"/>
      </w:r>
    </w:p>
    <w:p w14:paraId="24BF2091" w14:textId="168A2F02" w:rsidR="00792743" w:rsidRDefault="002618D6" w:rsidP="00792743">
      <w:pPr>
        <w:pStyle w:val="Heading2"/>
      </w:pPr>
      <w:r>
        <w:lastRenderedPageBreak/>
        <w:t xml:space="preserve">figures </w:t>
      </w:r>
      <w:r w:rsidR="007F38A1">
        <w:t>2</w:t>
      </w:r>
      <w:r w:rsidR="00B46029">
        <w:t>, 3 &amp; 4</w:t>
      </w:r>
      <w:r w:rsidR="00792743">
        <w:t>:</w:t>
      </w:r>
      <w:r w:rsidR="00A2425F">
        <w:t xml:space="preserve"> Moray vs comparator authorities</w:t>
      </w:r>
    </w:p>
    <w:p w14:paraId="075135D2" w14:textId="518A7E5F" w:rsidR="00847E38" w:rsidRDefault="002618D6" w:rsidP="00A2425F">
      <w:r w:rsidRPr="00CA3F01">
        <w:rPr>
          <w:b/>
          <w:bCs/>
          <w:color w:val="0070C0"/>
        </w:rPr>
        <w:t xml:space="preserve">Figure </w:t>
      </w:r>
      <w:r w:rsidR="007F38A1" w:rsidRPr="00CA3F01">
        <w:rPr>
          <w:b/>
          <w:bCs/>
          <w:color w:val="0070C0"/>
        </w:rPr>
        <w:t>2</w:t>
      </w:r>
      <w:r w:rsidR="005A500A">
        <w:t xml:space="preserve"> shows where Moray ranks in relation to its Comparator Authorities.</w:t>
      </w:r>
      <w:r w:rsidR="001F75B1">
        <w:t xml:space="preserve"> In 2021/22 Moray ranks as the second highest within our comparator group. This differs significantly from ranking sixth highest in 2014/15. None of our comparator authorities have declined in </w:t>
      </w:r>
      <w:r w:rsidR="00996E31">
        <w:t xml:space="preserve">nationwide </w:t>
      </w:r>
      <w:r w:rsidR="001F75B1">
        <w:t xml:space="preserve">ranking to the same extent as Moray over the period. East Lothian has seen the largest change in ranking, from having the highest levels of poverty in 2014/15 it now has the second lowest in the comparator group. </w:t>
      </w:r>
      <w:r w:rsidR="00420FEB">
        <w:t xml:space="preserve">What has happened in East Lothian that hasn’t happened in Moray? </w:t>
      </w:r>
      <w:r w:rsidR="001F75B1">
        <w:t xml:space="preserve">Stirling had the lowest level of poverty in 2014/15 and still has the lowest levels within </w:t>
      </w:r>
      <w:r w:rsidR="00420FEB">
        <w:t>our</w:t>
      </w:r>
      <w:r w:rsidR="001F75B1">
        <w:t xml:space="preserve"> comparator group.</w:t>
      </w:r>
    </w:p>
    <w:p w14:paraId="2B91786C" w14:textId="740A9582" w:rsidR="00A2425F" w:rsidRDefault="001F75B1" w:rsidP="00847E38">
      <w:pPr>
        <w:pStyle w:val="Caption"/>
        <w:keepNext/>
        <w:spacing w:before="240" w:after="0"/>
      </w:pPr>
      <w:r>
        <w:t>Figure</w:t>
      </w:r>
      <w:r w:rsidR="00A2425F">
        <w:t xml:space="preserve"> </w:t>
      </w:r>
      <w:r w:rsidR="007F38A1">
        <w:t>2</w:t>
      </w:r>
      <w:r w:rsidR="00A2425F">
        <w:t xml:space="preserve"> - Moray vs Comparator Authorities (% Poverty)</w:t>
      </w:r>
    </w:p>
    <w:tbl>
      <w:tblPr>
        <w:tblpPr w:leftFromText="180" w:rightFromText="180" w:vertAnchor="text" w:horzAnchor="margin" w:tblpXSpec="right" w:tblpY="112"/>
        <w:tblW w:w="3586" w:type="dxa"/>
        <w:tblLook w:val="04A0" w:firstRow="1" w:lastRow="0" w:firstColumn="1" w:lastColumn="0" w:noHBand="0" w:noVBand="1"/>
      </w:tblPr>
      <w:tblGrid>
        <w:gridCol w:w="1005"/>
        <w:gridCol w:w="1797"/>
        <w:gridCol w:w="784"/>
      </w:tblGrid>
      <w:tr w:rsidR="00847E38" w:rsidRPr="00DA15E9" w14:paraId="639C4C86" w14:textId="77777777" w:rsidTr="00847E38">
        <w:trPr>
          <w:trHeight w:val="263"/>
        </w:trPr>
        <w:tc>
          <w:tcPr>
            <w:tcW w:w="1005" w:type="dxa"/>
            <w:tcBorders>
              <w:top w:val="single" w:sz="8" w:space="0" w:color="auto"/>
              <w:left w:val="single" w:sz="8" w:space="0" w:color="auto"/>
              <w:bottom w:val="single" w:sz="4" w:space="0" w:color="auto"/>
              <w:right w:val="single" w:sz="4" w:space="0" w:color="auto"/>
            </w:tcBorders>
            <w:shd w:val="clear" w:color="000000" w:fill="000000"/>
            <w:noWrap/>
            <w:vAlign w:val="bottom"/>
            <w:hideMark/>
          </w:tcPr>
          <w:p w14:paraId="43670AF4" w14:textId="77777777" w:rsidR="00847E38" w:rsidRPr="00E25F61" w:rsidRDefault="00847E38" w:rsidP="00847E38">
            <w:pPr>
              <w:spacing w:before="0" w:after="0" w:line="240" w:lineRule="auto"/>
              <w:jc w:val="center"/>
              <w:rPr>
                <w:rFonts w:eastAsia="Times New Roman" w:cstheme="minorHAnsi"/>
                <w:b/>
                <w:bCs/>
                <w:color w:val="FFFFFF"/>
                <w:lang w:eastAsia="en-GB"/>
              </w:rPr>
            </w:pPr>
            <w:r w:rsidRPr="00E25F61">
              <w:rPr>
                <w:rFonts w:eastAsia="Times New Roman" w:cstheme="minorHAnsi"/>
                <w:b/>
                <w:bCs/>
                <w:color w:val="FFFFFF"/>
                <w:lang w:eastAsia="en-GB"/>
              </w:rPr>
              <w:t>Ranking</w:t>
            </w:r>
          </w:p>
        </w:tc>
        <w:tc>
          <w:tcPr>
            <w:tcW w:w="1797" w:type="dxa"/>
            <w:tcBorders>
              <w:top w:val="single" w:sz="8" w:space="0" w:color="auto"/>
              <w:left w:val="nil"/>
              <w:bottom w:val="single" w:sz="4" w:space="0" w:color="auto"/>
              <w:right w:val="single" w:sz="4" w:space="0" w:color="auto"/>
            </w:tcBorders>
            <w:shd w:val="clear" w:color="000000" w:fill="000000"/>
            <w:noWrap/>
            <w:vAlign w:val="bottom"/>
            <w:hideMark/>
          </w:tcPr>
          <w:p w14:paraId="631C0B0E" w14:textId="77777777" w:rsidR="00847E38" w:rsidRPr="00E25F61" w:rsidRDefault="00847E38" w:rsidP="00847E38">
            <w:pPr>
              <w:spacing w:before="0" w:after="0" w:line="240" w:lineRule="auto"/>
              <w:rPr>
                <w:rFonts w:eastAsia="Times New Roman" w:cstheme="minorHAnsi"/>
                <w:b/>
                <w:bCs/>
                <w:color w:val="FFFFFF"/>
                <w:lang w:eastAsia="en-GB"/>
              </w:rPr>
            </w:pPr>
            <w:r w:rsidRPr="00E25F61">
              <w:rPr>
                <w:rFonts w:eastAsia="Times New Roman" w:cstheme="minorHAnsi"/>
                <w:b/>
                <w:bCs/>
                <w:color w:val="FFFFFF"/>
                <w:lang w:eastAsia="en-GB"/>
              </w:rPr>
              <w:t>Scotland</w:t>
            </w:r>
          </w:p>
        </w:tc>
        <w:tc>
          <w:tcPr>
            <w:tcW w:w="784" w:type="dxa"/>
            <w:tcBorders>
              <w:top w:val="single" w:sz="8" w:space="0" w:color="auto"/>
              <w:left w:val="nil"/>
              <w:bottom w:val="single" w:sz="4" w:space="0" w:color="auto"/>
              <w:right w:val="single" w:sz="8" w:space="0" w:color="auto"/>
            </w:tcBorders>
            <w:shd w:val="clear" w:color="000000" w:fill="000000"/>
            <w:noWrap/>
            <w:vAlign w:val="bottom"/>
            <w:hideMark/>
          </w:tcPr>
          <w:p w14:paraId="45E0FED0" w14:textId="77777777" w:rsidR="00847E38" w:rsidRPr="00E25F61" w:rsidRDefault="00847E38" w:rsidP="00847E38">
            <w:pPr>
              <w:spacing w:before="0" w:after="0" w:line="240" w:lineRule="auto"/>
              <w:jc w:val="center"/>
              <w:rPr>
                <w:rFonts w:eastAsia="Times New Roman" w:cstheme="minorHAnsi"/>
                <w:b/>
                <w:bCs/>
                <w:color w:val="FFFFFF"/>
                <w:lang w:eastAsia="en-GB"/>
              </w:rPr>
            </w:pPr>
            <w:r w:rsidRPr="00E25F61">
              <w:rPr>
                <w:rFonts w:eastAsia="Times New Roman" w:cstheme="minorHAnsi"/>
                <w:b/>
                <w:bCs/>
                <w:color w:val="FFFFFF"/>
                <w:lang w:eastAsia="en-GB"/>
              </w:rPr>
              <w:t>24.5%</w:t>
            </w:r>
          </w:p>
        </w:tc>
      </w:tr>
      <w:tr w:rsidR="00847E38" w:rsidRPr="00DA15E9" w14:paraId="0110ED54" w14:textId="77777777" w:rsidTr="00847E38">
        <w:trPr>
          <w:trHeight w:val="255"/>
        </w:trPr>
        <w:tc>
          <w:tcPr>
            <w:tcW w:w="1005" w:type="dxa"/>
            <w:tcBorders>
              <w:top w:val="nil"/>
              <w:left w:val="single" w:sz="8" w:space="0" w:color="auto"/>
              <w:bottom w:val="single" w:sz="4" w:space="0" w:color="auto"/>
              <w:right w:val="single" w:sz="4" w:space="0" w:color="auto"/>
            </w:tcBorders>
            <w:shd w:val="clear" w:color="auto" w:fill="auto"/>
            <w:noWrap/>
            <w:vAlign w:val="bottom"/>
            <w:hideMark/>
          </w:tcPr>
          <w:p w14:paraId="7E309E25" w14:textId="77777777" w:rsidR="00847E38" w:rsidRPr="00E25F61" w:rsidRDefault="00847E38" w:rsidP="00847E38">
            <w:pPr>
              <w:spacing w:before="0" w:after="0" w:line="240" w:lineRule="auto"/>
              <w:jc w:val="center"/>
              <w:rPr>
                <w:rFonts w:eastAsia="Times New Roman" w:cstheme="minorHAnsi"/>
                <w:lang w:eastAsia="en-GB"/>
              </w:rPr>
            </w:pPr>
            <w:r w:rsidRPr="00E25F61">
              <w:rPr>
                <w:rFonts w:eastAsia="Times New Roman" w:cstheme="minorHAnsi"/>
                <w:lang w:eastAsia="en-GB"/>
              </w:rPr>
              <w:t>1</w:t>
            </w:r>
          </w:p>
        </w:tc>
        <w:tc>
          <w:tcPr>
            <w:tcW w:w="1797" w:type="dxa"/>
            <w:tcBorders>
              <w:top w:val="nil"/>
              <w:left w:val="nil"/>
              <w:bottom w:val="single" w:sz="4" w:space="0" w:color="auto"/>
              <w:right w:val="single" w:sz="4" w:space="0" w:color="auto"/>
            </w:tcBorders>
            <w:shd w:val="clear" w:color="auto" w:fill="auto"/>
            <w:noWrap/>
            <w:vAlign w:val="bottom"/>
            <w:hideMark/>
          </w:tcPr>
          <w:p w14:paraId="2A30001B" w14:textId="77777777" w:rsidR="00847E38" w:rsidRPr="00E25F61" w:rsidRDefault="00847E38" w:rsidP="00847E38">
            <w:pPr>
              <w:spacing w:before="0" w:after="0" w:line="240" w:lineRule="auto"/>
              <w:rPr>
                <w:rFonts w:eastAsia="Times New Roman" w:cstheme="minorHAnsi"/>
                <w:lang w:eastAsia="en-GB"/>
              </w:rPr>
            </w:pPr>
            <w:r w:rsidRPr="00E25F61">
              <w:rPr>
                <w:rFonts w:eastAsia="Times New Roman" w:cstheme="minorHAnsi"/>
                <w:lang w:eastAsia="en-GB"/>
              </w:rPr>
              <w:t>Angus</w:t>
            </w:r>
          </w:p>
        </w:tc>
        <w:tc>
          <w:tcPr>
            <w:tcW w:w="784" w:type="dxa"/>
            <w:tcBorders>
              <w:top w:val="nil"/>
              <w:left w:val="nil"/>
              <w:bottom w:val="single" w:sz="4" w:space="0" w:color="auto"/>
              <w:right w:val="single" w:sz="8" w:space="0" w:color="auto"/>
            </w:tcBorders>
            <w:shd w:val="clear" w:color="auto" w:fill="auto"/>
            <w:noWrap/>
            <w:vAlign w:val="bottom"/>
            <w:hideMark/>
          </w:tcPr>
          <w:p w14:paraId="0E80DFA8" w14:textId="77777777" w:rsidR="00847E38" w:rsidRPr="00E25F61" w:rsidRDefault="00847E38" w:rsidP="00847E38">
            <w:pPr>
              <w:spacing w:before="0" w:after="0" w:line="240" w:lineRule="auto"/>
              <w:jc w:val="center"/>
              <w:rPr>
                <w:rFonts w:eastAsia="Times New Roman" w:cstheme="minorHAnsi"/>
                <w:lang w:eastAsia="en-GB"/>
              </w:rPr>
            </w:pPr>
            <w:r w:rsidRPr="00E25F61">
              <w:rPr>
                <w:rFonts w:eastAsia="Times New Roman" w:cstheme="minorHAnsi"/>
                <w:lang w:eastAsia="en-GB"/>
              </w:rPr>
              <w:t>24.2%</w:t>
            </w:r>
          </w:p>
        </w:tc>
      </w:tr>
      <w:tr w:rsidR="00847E38" w:rsidRPr="00DA15E9" w14:paraId="11EEB45B" w14:textId="77777777" w:rsidTr="00847E38">
        <w:trPr>
          <w:trHeight w:val="263"/>
        </w:trPr>
        <w:tc>
          <w:tcPr>
            <w:tcW w:w="1005" w:type="dxa"/>
            <w:tcBorders>
              <w:top w:val="nil"/>
              <w:left w:val="single" w:sz="8" w:space="0" w:color="auto"/>
              <w:bottom w:val="single" w:sz="4" w:space="0" w:color="auto"/>
              <w:right w:val="single" w:sz="4" w:space="0" w:color="auto"/>
            </w:tcBorders>
            <w:shd w:val="clear" w:color="000000" w:fill="FCE4D6"/>
            <w:noWrap/>
            <w:vAlign w:val="bottom"/>
            <w:hideMark/>
          </w:tcPr>
          <w:p w14:paraId="016D52F6" w14:textId="77777777" w:rsidR="00847E38" w:rsidRPr="00E25F61" w:rsidRDefault="00847E38" w:rsidP="00847E38">
            <w:pPr>
              <w:spacing w:before="0" w:after="0" w:line="240" w:lineRule="auto"/>
              <w:jc w:val="center"/>
              <w:rPr>
                <w:rFonts w:eastAsia="Times New Roman" w:cstheme="minorHAnsi"/>
                <w:b/>
                <w:bCs/>
                <w:lang w:eastAsia="en-GB"/>
              </w:rPr>
            </w:pPr>
            <w:r w:rsidRPr="00E25F61">
              <w:rPr>
                <w:rFonts w:eastAsia="Times New Roman" w:cstheme="minorHAnsi"/>
                <w:b/>
                <w:bCs/>
                <w:lang w:eastAsia="en-GB"/>
              </w:rPr>
              <w:t>2</w:t>
            </w:r>
          </w:p>
        </w:tc>
        <w:tc>
          <w:tcPr>
            <w:tcW w:w="1797" w:type="dxa"/>
            <w:tcBorders>
              <w:top w:val="nil"/>
              <w:left w:val="nil"/>
              <w:bottom w:val="single" w:sz="4" w:space="0" w:color="auto"/>
              <w:right w:val="single" w:sz="4" w:space="0" w:color="auto"/>
            </w:tcBorders>
            <w:shd w:val="clear" w:color="000000" w:fill="FCE4D6"/>
            <w:noWrap/>
            <w:vAlign w:val="bottom"/>
            <w:hideMark/>
          </w:tcPr>
          <w:p w14:paraId="5A14579F" w14:textId="77777777" w:rsidR="00847E38" w:rsidRPr="00E25F61" w:rsidRDefault="00847E38" w:rsidP="00847E38">
            <w:pPr>
              <w:spacing w:before="0" w:after="0" w:line="240" w:lineRule="auto"/>
              <w:rPr>
                <w:rFonts w:eastAsia="Times New Roman" w:cstheme="minorHAnsi"/>
                <w:b/>
                <w:bCs/>
                <w:lang w:eastAsia="en-GB"/>
              </w:rPr>
            </w:pPr>
            <w:r w:rsidRPr="00E25F61">
              <w:rPr>
                <w:rFonts w:eastAsia="Times New Roman" w:cstheme="minorHAnsi"/>
                <w:b/>
                <w:bCs/>
                <w:lang w:eastAsia="en-GB"/>
              </w:rPr>
              <w:t>Moray</w:t>
            </w:r>
          </w:p>
        </w:tc>
        <w:tc>
          <w:tcPr>
            <w:tcW w:w="784" w:type="dxa"/>
            <w:tcBorders>
              <w:top w:val="nil"/>
              <w:left w:val="nil"/>
              <w:bottom w:val="single" w:sz="4" w:space="0" w:color="auto"/>
              <w:right w:val="single" w:sz="8" w:space="0" w:color="auto"/>
            </w:tcBorders>
            <w:shd w:val="clear" w:color="000000" w:fill="FCE4D6"/>
            <w:noWrap/>
            <w:vAlign w:val="bottom"/>
            <w:hideMark/>
          </w:tcPr>
          <w:p w14:paraId="59725333" w14:textId="77777777" w:rsidR="00847E38" w:rsidRPr="00E25F61" w:rsidRDefault="00847E38" w:rsidP="00847E38">
            <w:pPr>
              <w:spacing w:before="0" w:after="0" w:line="240" w:lineRule="auto"/>
              <w:jc w:val="center"/>
              <w:rPr>
                <w:rFonts w:eastAsia="Times New Roman" w:cstheme="minorHAnsi"/>
                <w:b/>
                <w:bCs/>
                <w:lang w:eastAsia="en-GB"/>
              </w:rPr>
            </w:pPr>
            <w:r w:rsidRPr="00E25F61">
              <w:rPr>
                <w:rFonts w:eastAsia="Times New Roman" w:cstheme="minorHAnsi"/>
                <w:b/>
                <w:bCs/>
                <w:lang w:eastAsia="en-GB"/>
              </w:rPr>
              <w:t>24.1%</w:t>
            </w:r>
          </w:p>
        </w:tc>
      </w:tr>
      <w:tr w:rsidR="00847E38" w:rsidRPr="00DA15E9" w14:paraId="211A643E" w14:textId="77777777" w:rsidTr="00847E38">
        <w:trPr>
          <w:trHeight w:val="255"/>
        </w:trPr>
        <w:tc>
          <w:tcPr>
            <w:tcW w:w="1005" w:type="dxa"/>
            <w:tcBorders>
              <w:top w:val="nil"/>
              <w:left w:val="single" w:sz="8" w:space="0" w:color="auto"/>
              <w:bottom w:val="single" w:sz="4" w:space="0" w:color="auto"/>
              <w:right w:val="single" w:sz="4" w:space="0" w:color="auto"/>
            </w:tcBorders>
            <w:shd w:val="clear" w:color="auto" w:fill="auto"/>
            <w:noWrap/>
            <w:vAlign w:val="bottom"/>
            <w:hideMark/>
          </w:tcPr>
          <w:p w14:paraId="0D89BEF5" w14:textId="77777777" w:rsidR="00847E38" w:rsidRPr="00E25F61" w:rsidRDefault="00847E38" w:rsidP="00847E38">
            <w:pPr>
              <w:spacing w:before="0" w:after="0" w:line="240" w:lineRule="auto"/>
              <w:jc w:val="center"/>
              <w:rPr>
                <w:rFonts w:eastAsia="Times New Roman" w:cstheme="minorHAnsi"/>
                <w:lang w:eastAsia="en-GB"/>
              </w:rPr>
            </w:pPr>
            <w:r w:rsidRPr="00E25F61">
              <w:rPr>
                <w:rFonts w:eastAsia="Times New Roman" w:cstheme="minorHAnsi"/>
                <w:lang w:eastAsia="en-GB"/>
              </w:rPr>
              <w:t>3</w:t>
            </w:r>
          </w:p>
        </w:tc>
        <w:tc>
          <w:tcPr>
            <w:tcW w:w="1797" w:type="dxa"/>
            <w:tcBorders>
              <w:top w:val="nil"/>
              <w:left w:val="nil"/>
              <w:bottom w:val="single" w:sz="4" w:space="0" w:color="auto"/>
              <w:right w:val="single" w:sz="4" w:space="0" w:color="auto"/>
            </w:tcBorders>
            <w:shd w:val="clear" w:color="auto" w:fill="auto"/>
            <w:noWrap/>
            <w:vAlign w:val="bottom"/>
            <w:hideMark/>
          </w:tcPr>
          <w:p w14:paraId="786F83CF" w14:textId="77777777" w:rsidR="00847E38" w:rsidRPr="00E25F61" w:rsidRDefault="00847E38" w:rsidP="00847E38">
            <w:pPr>
              <w:spacing w:before="0" w:after="0" w:line="240" w:lineRule="auto"/>
              <w:rPr>
                <w:rFonts w:eastAsia="Times New Roman" w:cstheme="minorHAnsi"/>
                <w:lang w:eastAsia="en-GB"/>
              </w:rPr>
            </w:pPr>
            <w:r w:rsidRPr="00E25F61">
              <w:rPr>
                <w:rFonts w:eastAsia="Times New Roman" w:cstheme="minorHAnsi"/>
                <w:lang w:eastAsia="en-GB"/>
              </w:rPr>
              <w:t>Scottish Borders</w:t>
            </w:r>
          </w:p>
        </w:tc>
        <w:tc>
          <w:tcPr>
            <w:tcW w:w="784" w:type="dxa"/>
            <w:tcBorders>
              <w:top w:val="nil"/>
              <w:left w:val="nil"/>
              <w:bottom w:val="single" w:sz="4" w:space="0" w:color="auto"/>
              <w:right w:val="single" w:sz="8" w:space="0" w:color="auto"/>
            </w:tcBorders>
            <w:shd w:val="clear" w:color="auto" w:fill="auto"/>
            <w:noWrap/>
            <w:vAlign w:val="bottom"/>
            <w:hideMark/>
          </w:tcPr>
          <w:p w14:paraId="69208EFD" w14:textId="77777777" w:rsidR="00847E38" w:rsidRPr="00E25F61" w:rsidRDefault="00847E38" w:rsidP="00847E38">
            <w:pPr>
              <w:spacing w:before="0" w:after="0" w:line="240" w:lineRule="auto"/>
              <w:jc w:val="center"/>
              <w:rPr>
                <w:rFonts w:eastAsia="Times New Roman" w:cstheme="minorHAnsi"/>
                <w:lang w:eastAsia="en-GB"/>
              </w:rPr>
            </w:pPr>
            <w:r w:rsidRPr="00E25F61">
              <w:rPr>
                <w:rFonts w:eastAsia="Times New Roman" w:cstheme="minorHAnsi"/>
                <w:lang w:eastAsia="en-GB"/>
              </w:rPr>
              <w:t>23.4%</w:t>
            </w:r>
          </w:p>
        </w:tc>
      </w:tr>
      <w:tr w:rsidR="00847E38" w:rsidRPr="00DA15E9" w14:paraId="78E99C1B" w14:textId="77777777" w:rsidTr="00847E38">
        <w:trPr>
          <w:trHeight w:val="255"/>
        </w:trPr>
        <w:tc>
          <w:tcPr>
            <w:tcW w:w="1005" w:type="dxa"/>
            <w:tcBorders>
              <w:top w:val="nil"/>
              <w:left w:val="single" w:sz="8" w:space="0" w:color="auto"/>
              <w:bottom w:val="single" w:sz="4" w:space="0" w:color="auto"/>
              <w:right w:val="single" w:sz="4" w:space="0" w:color="auto"/>
            </w:tcBorders>
            <w:shd w:val="clear" w:color="auto" w:fill="auto"/>
            <w:noWrap/>
            <w:vAlign w:val="bottom"/>
            <w:hideMark/>
          </w:tcPr>
          <w:p w14:paraId="0C845A52" w14:textId="77777777" w:rsidR="00847E38" w:rsidRPr="00E25F61" w:rsidRDefault="00847E38" w:rsidP="00847E38">
            <w:pPr>
              <w:spacing w:before="0" w:after="0" w:line="240" w:lineRule="auto"/>
              <w:jc w:val="center"/>
              <w:rPr>
                <w:rFonts w:eastAsia="Times New Roman" w:cstheme="minorHAnsi"/>
                <w:lang w:eastAsia="en-GB"/>
              </w:rPr>
            </w:pPr>
            <w:r w:rsidRPr="00E25F61">
              <w:rPr>
                <w:rFonts w:eastAsia="Times New Roman" w:cstheme="minorHAnsi"/>
                <w:lang w:eastAsia="en-GB"/>
              </w:rPr>
              <w:t>4</w:t>
            </w:r>
          </w:p>
        </w:tc>
        <w:tc>
          <w:tcPr>
            <w:tcW w:w="1797" w:type="dxa"/>
            <w:tcBorders>
              <w:top w:val="nil"/>
              <w:left w:val="nil"/>
              <w:bottom w:val="single" w:sz="4" w:space="0" w:color="auto"/>
              <w:right w:val="single" w:sz="4" w:space="0" w:color="auto"/>
            </w:tcBorders>
            <w:shd w:val="clear" w:color="auto" w:fill="auto"/>
            <w:noWrap/>
            <w:vAlign w:val="bottom"/>
            <w:hideMark/>
          </w:tcPr>
          <w:p w14:paraId="4C89AD51" w14:textId="77777777" w:rsidR="00847E38" w:rsidRPr="00E25F61" w:rsidRDefault="00847E38" w:rsidP="00847E38">
            <w:pPr>
              <w:spacing w:before="0" w:after="0" w:line="240" w:lineRule="auto"/>
              <w:rPr>
                <w:rFonts w:eastAsia="Times New Roman" w:cstheme="minorHAnsi"/>
                <w:lang w:eastAsia="en-GB"/>
              </w:rPr>
            </w:pPr>
            <w:r w:rsidRPr="00E25F61">
              <w:rPr>
                <w:rFonts w:eastAsia="Times New Roman" w:cstheme="minorHAnsi"/>
                <w:lang w:eastAsia="en-GB"/>
              </w:rPr>
              <w:t>Highland</w:t>
            </w:r>
          </w:p>
        </w:tc>
        <w:tc>
          <w:tcPr>
            <w:tcW w:w="784" w:type="dxa"/>
            <w:tcBorders>
              <w:top w:val="nil"/>
              <w:left w:val="nil"/>
              <w:bottom w:val="single" w:sz="4" w:space="0" w:color="auto"/>
              <w:right w:val="single" w:sz="8" w:space="0" w:color="auto"/>
            </w:tcBorders>
            <w:shd w:val="clear" w:color="auto" w:fill="auto"/>
            <w:noWrap/>
            <w:vAlign w:val="bottom"/>
            <w:hideMark/>
          </w:tcPr>
          <w:p w14:paraId="58CAD8BC" w14:textId="77777777" w:rsidR="00847E38" w:rsidRPr="00E25F61" w:rsidRDefault="00847E38" w:rsidP="00847E38">
            <w:pPr>
              <w:spacing w:before="0" w:after="0" w:line="240" w:lineRule="auto"/>
              <w:jc w:val="center"/>
              <w:rPr>
                <w:rFonts w:eastAsia="Times New Roman" w:cstheme="minorHAnsi"/>
                <w:lang w:eastAsia="en-GB"/>
              </w:rPr>
            </w:pPr>
            <w:r w:rsidRPr="00E25F61">
              <w:rPr>
                <w:rFonts w:eastAsia="Times New Roman" w:cstheme="minorHAnsi"/>
                <w:lang w:eastAsia="en-GB"/>
              </w:rPr>
              <w:t>22.8%</w:t>
            </w:r>
          </w:p>
        </w:tc>
      </w:tr>
      <w:tr w:rsidR="00847E38" w:rsidRPr="00DA15E9" w14:paraId="1E71B5A7" w14:textId="77777777" w:rsidTr="00847E38">
        <w:trPr>
          <w:trHeight w:val="255"/>
        </w:trPr>
        <w:tc>
          <w:tcPr>
            <w:tcW w:w="1005" w:type="dxa"/>
            <w:tcBorders>
              <w:top w:val="nil"/>
              <w:left w:val="single" w:sz="8" w:space="0" w:color="auto"/>
              <w:bottom w:val="single" w:sz="4" w:space="0" w:color="auto"/>
              <w:right w:val="single" w:sz="4" w:space="0" w:color="auto"/>
            </w:tcBorders>
            <w:shd w:val="clear" w:color="auto" w:fill="auto"/>
            <w:noWrap/>
            <w:vAlign w:val="bottom"/>
            <w:hideMark/>
          </w:tcPr>
          <w:p w14:paraId="3516A2A8" w14:textId="77777777" w:rsidR="00847E38" w:rsidRPr="00E25F61" w:rsidRDefault="00847E38" w:rsidP="00847E38">
            <w:pPr>
              <w:spacing w:before="0" w:after="0" w:line="240" w:lineRule="auto"/>
              <w:jc w:val="center"/>
              <w:rPr>
                <w:rFonts w:eastAsia="Times New Roman" w:cstheme="minorHAnsi"/>
                <w:lang w:eastAsia="en-GB"/>
              </w:rPr>
            </w:pPr>
            <w:r w:rsidRPr="00E25F61">
              <w:rPr>
                <w:rFonts w:eastAsia="Times New Roman" w:cstheme="minorHAnsi"/>
                <w:lang w:eastAsia="en-GB"/>
              </w:rPr>
              <w:t>5</w:t>
            </w:r>
          </w:p>
        </w:tc>
        <w:tc>
          <w:tcPr>
            <w:tcW w:w="1797" w:type="dxa"/>
            <w:tcBorders>
              <w:top w:val="nil"/>
              <w:left w:val="nil"/>
              <w:bottom w:val="single" w:sz="4" w:space="0" w:color="auto"/>
              <w:right w:val="single" w:sz="4" w:space="0" w:color="auto"/>
            </w:tcBorders>
            <w:shd w:val="clear" w:color="auto" w:fill="auto"/>
            <w:noWrap/>
            <w:vAlign w:val="bottom"/>
            <w:hideMark/>
          </w:tcPr>
          <w:p w14:paraId="406AE1C5" w14:textId="77777777" w:rsidR="00847E38" w:rsidRPr="00E25F61" w:rsidRDefault="00847E38" w:rsidP="00847E38">
            <w:pPr>
              <w:spacing w:before="0" w:after="0" w:line="240" w:lineRule="auto"/>
              <w:rPr>
                <w:rFonts w:eastAsia="Times New Roman" w:cstheme="minorHAnsi"/>
                <w:lang w:eastAsia="en-GB"/>
              </w:rPr>
            </w:pPr>
            <w:r w:rsidRPr="00E25F61">
              <w:rPr>
                <w:rFonts w:eastAsia="Times New Roman" w:cstheme="minorHAnsi"/>
                <w:lang w:eastAsia="en-GB"/>
              </w:rPr>
              <w:t>Midlothian</w:t>
            </w:r>
          </w:p>
        </w:tc>
        <w:tc>
          <w:tcPr>
            <w:tcW w:w="784" w:type="dxa"/>
            <w:tcBorders>
              <w:top w:val="nil"/>
              <w:left w:val="nil"/>
              <w:bottom w:val="single" w:sz="4" w:space="0" w:color="auto"/>
              <w:right w:val="single" w:sz="8" w:space="0" w:color="auto"/>
            </w:tcBorders>
            <w:shd w:val="clear" w:color="auto" w:fill="auto"/>
            <w:noWrap/>
            <w:vAlign w:val="bottom"/>
            <w:hideMark/>
          </w:tcPr>
          <w:p w14:paraId="5F641B21" w14:textId="77777777" w:rsidR="00847E38" w:rsidRPr="00E25F61" w:rsidRDefault="00847E38" w:rsidP="00847E38">
            <w:pPr>
              <w:spacing w:before="0" w:after="0" w:line="240" w:lineRule="auto"/>
              <w:jc w:val="center"/>
              <w:rPr>
                <w:rFonts w:eastAsia="Times New Roman" w:cstheme="minorHAnsi"/>
                <w:lang w:eastAsia="en-GB"/>
              </w:rPr>
            </w:pPr>
            <w:r w:rsidRPr="00E25F61">
              <w:rPr>
                <w:rFonts w:eastAsia="Times New Roman" w:cstheme="minorHAnsi"/>
                <w:lang w:eastAsia="en-GB"/>
              </w:rPr>
              <w:t>22.7%</w:t>
            </w:r>
          </w:p>
        </w:tc>
      </w:tr>
      <w:tr w:rsidR="00847E38" w:rsidRPr="00DA15E9" w14:paraId="19CC3007" w14:textId="77777777" w:rsidTr="00847E38">
        <w:trPr>
          <w:trHeight w:val="255"/>
        </w:trPr>
        <w:tc>
          <w:tcPr>
            <w:tcW w:w="1005" w:type="dxa"/>
            <w:tcBorders>
              <w:top w:val="nil"/>
              <w:left w:val="single" w:sz="8" w:space="0" w:color="auto"/>
              <w:bottom w:val="single" w:sz="4" w:space="0" w:color="auto"/>
              <w:right w:val="single" w:sz="4" w:space="0" w:color="auto"/>
            </w:tcBorders>
            <w:shd w:val="clear" w:color="auto" w:fill="auto"/>
            <w:noWrap/>
            <w:vAlign w:val="bottom"/>
            <w:hideMark/>
          </w:tcPr>
          <w:p w14:paraId="0B529A64" w14:textId="77777777" w:rsidR="00847E38" w:rsidRPr="00E25F61" w:rsidRDefault="00847E38" w:rsidP="00847E38">
            <w:pPr>
              <w:spacing w:before="0" w:after="0" w:line="240" w:lineRule="auto"/>
              <w:jc w:val="center"/>
              <w:rPr>
                <w:rFonts w:eastAsia="Times New Roman" w:cstheme="minorHAnsi"/>
                <w:lang w:eastAsia="en-GB"/>
              </w:rPr>
            </w:pPr>
            <w:r w:rsidRPr="00E25F61">
              <w:rPr>
                <w:rFonts w:eastAsia="Times New Roman" w:cstheme="minorHAnsi"/>
                <w:lang w:eastAsia="en-GB"/>
              </w:rPr>
              <w:t>6</w:t>
            </w:r>
          </w:p>
        </w:tc>
        <w:tc>
          <w:tcPr>
            <w:tcW w:w="1797" w:type="dxa"/>
            <w:tcBorders>
              <w:top w:val="nil"/>
              <w:left w:val="nil"/>
              <w:bottom w:val="single" w:sz="4" w:space="0" w:color="auto"/>
              <w:right w:val="single" w:sz="4" w:space="0" w:color="auto"/>
            </w:tcBorders>
            <w:shd w:val="clear" w:color="auto" w:fill="auto"/>
            <w:noWrap/>
            <w:vAlign w:val="bottom"/>
            <w:hideMark/>
          </w:tcPr>
          <w:p w14:paraId="7AF9B62E" w14:textId="77777777" w:rsidR="00847E38" w:rsidRPr="00E25F61" w:rsidRDefault="00847E38" w:rsidP="00847E38">
            <w:pPr>
              <w:spacing w:before="0" w:after="0" w:line="240" w:lineRule="auto"/>
              <w:rPr>
                <w:rFonts w:eastAsia="Times New Roman" w:cstheme="minorHAnsi"/>
                <w:lang w:eastAsia="en-GB"/>
              </w:rPr>
            </w:pPr>
            <w:r w:rsidRPr="00E25F61">
              <w:rPr>
                <w:rFonts w:eastAsia="Times New Roman" w:cstheme="minorHAnsi"/>
                <w:lang w:eastAsia="en-GB"/>
              </w:rPr>
              <w:t>Argyll &amp; Bute</w:t>
            </w:r>
          </w:p>
        </w:tc>
        <w:tc>
          <w:tcPr>
            <w:tcW w:w="784" w:type="dxa"/>
            <w:tcBorders>
              <w:top w:val="nil"/>
              <w:left w:val="nil"/>
              <w:bottom w:val="single" w:sz="4" w:space="0" w:color="auto"/>
              <w:right w:val="single" w:sz="8" w:space="0" w:color="auto"/>
            </w:tcBorders>
            <w:shd w:val="clear" w:color="auto" w:fill="auto"/>
            <w:noWrap/>
            <w:vAlign w:val="bottom"/>
            <w:hideMark/>
          </w:tcPr>
          <w:p w14:paraId="58CF0A54" w14:textId="77777777" w:rsidR="00847E38" w:rsidRPr="00E25F61" w:rsidRDefault="00847E38" w:rsidP="00847E38">
            <w:pPr>
              <w:spacing w:before="0" w:after="0" w:line="240" w:lineRule="auto"/>
              <w:jc w:val="center"/>
              <w:rPr>
                <w:rFonts w:eastAsia="Times New Roman" w:cstheme="minorHAnsi"/>
                <w:lang w:eastAsia="en-GB"/>
              </w:rPr>
            </w:pPr>
            <w:r w:rsidRPr="00E25F61">
              <w:rPr>
                <w:rFonts w:eastAsia="Times New Roman" w:cstheme="minorHAnsi"/>
                <w:lang w:eastAsia="en-GB"/>
              </w:rPr>
              <w:t>21.7%</w:t>
            </w:r>
          </w:p>
        </w:tc>
      </w:tr>
      <w:tr w:rsidR="00847E38" w:rsidRPr="00DA15E9" w14:paraId="0CFF0E1E" w14:textId="77777777" w:rsidTr="00847E38">
        <w:trPr>
          <w:trHeight w:val="255"/>
        </w:trPr>
        <w:tc>
          <w:tcPr>
            <w:tcW w:w="1005" w:type="dxa"/>
            <w:tcBorders>
              <w:top w:val="nil"/>
              <w:left w:val="single" w:sz="8" w:space="0" w:color="auto"/>
              <w:bottom w:val="single" w:sz="4" w:space="0" w:color="auto"/>
              <w:right w:val="single" w:sz="4" w:space="0" w:color="auto"/>
            </w:tcBorders>
            <w:shd w:val="clear" w:color="auto" w:fill="auto"/>
            <w:noWrap/>
            <w:vAlign w:val="bottom"/>
            <w:hideMark/>
          </w:tcPr>
          <w:p w14:paraId="495B4B84" w14:textId="77777777" w:rsidR="00847E38" w:rsidRPr="00E25F61" w:rsidRDefault="00847E38" w:rsidP="00847E38">
            <w:pPr>
              <w:spacing w:before="0" w:after="0" w:line="240" w:lineRule="auto"/>
              <w:jc w:val="center"/>
              <w:rPr>
                <w:rFonts w:eastAsia="Times New Roman" w:cstheme="minorHAnsi"/>
                <w:lang w:eastAsia="en-GB"/>
              </w:rPr>
            </w:pPr>
            <w:r w:rsidRPr="00E25F61">
              <w:rPr>
                <w:rFonts w:eastAsia="Times New Roman" w:cstheme="minorHAnsi"/>
                <w:lang w:eastAsia="en-GB"/>
              </w:rPr>
              <w:t>7</w:t>
            </w:r>
          </w:p>
        </w:tc>
        <w:tc>
          <w:tcPr>
            <w:tcW w:w="1797" w:type="dxa"/>
            <w:tcBorders>
              <w:top w:val="nil"/>
              <w:left w:val="nil"/>
              <w:bottom w:val="single" w:sz="4" w:space="0" w:color="auto"/>
              <w:right w:val="single" w:sz="4" w:space="0" w:color="auto"/>
            </w:tcBorders>
            <w:shd w:val="clear" w:color="auto" w:fill="auto"/>
            <w:noWrap/>
            <w:vAlign w:val="bottom"/>
            <w:hideMark/>
          </w:tcPr>
          <w:p w14:paraId="4E6CF206" w14:textId="77777777" w:rsidR="00847E38" w:rsidRPr="00E25F61" w:rsidRDefault="00847E38" w:rsidP="00847E38">
            <w:pPr>
              <w:spacing w:before="0" w:after="0" w:line="240" w:lineRule="auto"/>
              <w:rPr>
                <w:rFonts w:eastAsia="Times New Roman" w:cstheme="minorHAnsi"/>
                <w:lang w:eastAsia="en-GB"/>
              </w:rPr>
            </w:pPr>
            <w:r w:rsidRPr="00E25F61">
              <w:rPr>
                <w:rFonts w:eastAsia="Times New Roman" w:cstheme="minorHAnsi"/>
                <w:lang w:eastAsia="en-GB"/>
              </w:rPr>
              <w:t>East Lothian</w:t>
            </w:r>
          </w:p>
        </w:tc>
        <w:tc>
          <w:tcPr>
            <w:tcW w:w="784" w:type="dxa"/>
            <w:tcBorders>
              <w:top w:val="nil"/>
              <w:left w:val="nil"/>
              <w:bottom w:val="single" w:sz="4" w:space="0" w:color="auto"/>
              <w:right w:val="single" w:sz="8" w:space="0" w:color="auto"/>
            </w:tcBorders>
            <w:shd w:val="clear" w:color="auto" w:fill="auto"/>
            <w:noWrap/>
            <w:vAlign w:val="bottom"/>
            <w:hideMark/>
          </w:tcPr>
          <w:p w14:paraId="448DBFAC" w14:textId="77777777" w:rsidR="00847E38" w:rsidRPr="00E25F61" w:rsidRDefault="00847E38" w:rsidP="00847E38">
            <w:pPr>
              <w:spacing w:before="0" w:after="0" w:line="240" w:lineRule="auto"/>
              <w:jc w:val="center"/>
              <w:rPr>
                <w:rFonts w:eastAsia="Times New Roman" w:cstheme="minorHAnsi"/>
                <w:lang w:eastAsia="en-GB"/>
              </w:rPr>
            </w:pPr>
            <w:r w:rsidRPr="00E25F61">
              <w:rPr>
                <w:rFonts w:eastAsia="Times New Roman" w:cstheme="minorHAnsi"/>
                <w:lang w:eastAsia="en-GB"/>
              </w:rPr>
              <w:t>21.1%</w:t>
            </w:r>
          </w:p>
        </w:tc>
      </w:tr>
      <w:tr w:rsidR="00847E38" w:rsidRPr="00DA15E9" w14:paraId="6D358F98" w14:textId="77777777" w:rsidTr="00847E38">
        <w:trPr>
          <w:trHeight w:val="263"/>
        </w:trPr>
        <w:tc>
          <w:tcPr>
            <w:tcW w:w="1005" w:type="dxa"/>
            <w:tcBorders>
              <w:top w:val="nil"/>
              <w:left w:val="single" w:sz="8" w:space="0" w:color="auto"/>
              <w:bottom w:val="single" w:sz="8" w:space="0" w:color="auto"/>
              <w:right w:val="single" w:sz="4" w:space="0" w:color="auto"/>
            </w:tcBorders>
            <w:shd w:val="clear" w:color="auto" w:fill="auto"/>
            <w:noWrap/>
            <w:vAlign w:val="bottom"/>
            <w:hideMark/>
          </w:tcPr>
          <w:p w14:paraId="2FCD4634" w14:textId="77777777" w:rsidR="00847E38" w:rsidRPr="00E25F61" w:rsidRDefault="00847E38" w:rsidP="00847E38">
            <w:pPr>
              <w:spacing w:before="0" w:after="0" w:line="240" w:lineRule="auto"/>
              <w:jc w:val="center"/>
              <w:rPr>
                <w:rFonts w:eastAsia="Times New Roman" w:cstheme="minorHAnsi"/>
                <w:lang w:eastAsia="en-GB"/>
              </w:rPr>
            </w:pPr>
            <w:r w:rsidRPr="00E25F61">
              <w:rPr>
                <w:rFonts w:eastAsia="Times New Roman" w:cstheme="minorHAnsi"/>
                <w:lang w:eastAsia="en-GB"/>
              </w:rPr>
              <w:t>8</w:t>
            </w:r>
          </w:p>
        </w:tc>
        <w:tc>
          <w:tcPr>
            <w:tcW w:w="1797" w:type="dxa"/>
            <w:tcBorders>
              <w:top w:val="nil"/>
              <w:left w:val="nil"/>
              <w:bottom w:val="single" w:sz="8" w:space="0" w:color="auto"/>
              <w:right w:val="single" w:sz="4" w:space="0" w:color="auto"/>
            </w:tcBorders>
            <w:shd w:val="clear" w:color="auto" w:fill="auto"/>
            <w:noWrap/>
            <w:vAlign w:val="bottom"/>
            <w:hideMark/>
          </w:tcPr>
          <w:p w14:paraId="710B004B" w14:textId="77777777" w:rsidR="00847E38" w:rsidRPr="00E25F61" w:rsidRDefault="00847E38" w:rsidP="00847E38">
            <w:pPr>
              <w:spacing w:before="0" w:after="0" w:line="240" w:lineRule="auto"/>
              <w:rPr>
                <w:rFonts w:eastAsia="Times New Roman" w:cstheme="minorHAnsi"/>
                <w:lang w:eastAsia="en-GB"/>
              </w:rPr>
            </w:pPr>
            <w:r w:rsidRPr="00E25F61">
              <w:rPr>
                <w:rFonts w:eastAsia="Times New Roman" w:cstheme="minorHAnsi"/>
                <w:lang w:eastAsia="en-GB"/>
              </w:rPr>
              <w:t>Stirling</w:t>
            </w:r>
          </w:p>
        </w:tc>
        <w:tc>
          <w:tcPr>
            <w:tcW w:w="784" w:type="dxa"/>
            <w:tcBorders>
              <w:top w:val="nil"/>
              <w:left w:val="nil"/>
              <w:bottom w:val="single" w:sz="8" w:space="0" w:color="auto"/>
              <w:right w:val="single" w:sz="8" w:space="0" w:color="auto"/>
            </w:tcBorders>
            <w:shd w:val="clear" w:color="auto" w:fill="auto"/>
            <w:noWrap/>
            <w:vAlign w:val="bottom"/>
            <w:hideMark/>
          </w:tcPr>
          <w:p w14:paraId="4E17416B" w14:textId="77777777" w:rsidR="00847E38" w:rsidRPr="00E25F61" w:rsidRDefault="00847E38" w:rsidP="00847E38">
            <w:pPr>
              <w:spacing w:before="0" w:after="0" w:line="240" w:lineRule="auto"/>
              <w:jc w:val="center"/>
              <w:rPr>
                <w:rFonts w:eastAsia="Times New Roman" w:cstheme="minorHAnsi"/>
                <w:lang w:eastAsia="en-GB"/>
              </w:rPr>
            </w:pPr>
            <w:r w:rsidRPr="00E25F61">
              <w:rPr>
                <w:rFonts w:eastAsia="Times New Roman" w:cstheme="minorHAnsi"/>
                <w:lang w:eastAsia="en-GB"/>
              </w:rPr>
              <w:t>20.8%</w:t>
            </w:r>
          </w:p>
        </w:tc>
      </w:tr>
    </w:tbl>
    <w:p w14:paraId="1D68B9DA" w14:textId="5CC4F45F" w:rsidR="00DA15E9" w:rsidRDefault="00847E38" w:rsidP="00847E38">
      <w:pPr>
        <w:spacing w:after="240"/>
      </w:pPr>
      <w:r>
        <w:rPr>
          <w:noProof/>
        </w:rPr>
        <w:drawing>
          <wp:inline distT="0" distB="0" distL="0" distR="0" wp14:anchorId="0ADFD867" wp14:editId="351203E5">
            <wp:extent cx="3656142" cy="3292897"/>
            <wp:effectExtent l="0" t="0" r="0" b="0"/>
            <wp:docPr id="685339029" name="Picture 6" descr="A map of scotland with blue and white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339029" name="Picture 6" descr="A map of scotland with blue and white color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663690" cy="3299695"/>
                    </a:xfrm>
                    <a:prstGeom prst="rect">
                      <a:avLst/>
                    </a:prstGeom>
                  </pic:spPr>
                </pic:pic>
              </a:graphicData>
            </a:graphic>
          </wp:inline>
        </w:drawing>
      </w:r>
    </w:p>
    <w:p w14:paraId="024E5778" w14:textId="77777777" w:rsidR="00FD53BB" w:rsidRDefault="00FD53BB" w:rsidP="00847E38">
      <w:pPr>
        <w:spacing w:before="240"/>
      </w:pPr>
    </w:p>
    <w:p w14:paraId="3A060297" w14:textId="78AFEE2C" w:rsidR="00764C67" w:rsidRDefault="001A5241" w:rsidP="00FD53BB">
      <w:pPr>
        <w:spacing w:before="240"/>
      </w:pPr>
      <w:r>
        <w:rPr>
          <w:noProof/>
        </w:rPr>
        <w:drawing>
          <wp:anchor distT="0" distB="0" distL="114300" distR="114300" simplePos="0" relativeHeight="251655680" behindDoc="1" locked="0" layoutInCell="1" allowOverlap="1" wp14:anchorId="4CF7B52B" wp14:editId="0D80AF9C">
            <wp:simplePos x="0" y="0"/>
            <wp:positionH relativeFrom="column">
              <wp:posOffset>-1270</wp:posOffset>
            </wp:positionH>
            <wp:positionV relativeFrom="paragraph">
              <wp:posOffset>1514475</wp:posOffset>
            </wp:positionV>
            <wp:extent cx="6188710" cy="2520950"/>
            <wp:effectExtent l="0" t="0" r="0" b="0"/>
            <wp:wrapTight wrapText="bothSides">
              <wp:wrapPolygon edited="0">
                <wp:start x="0" y="0"/>
                <wp:lineTo x="0" y="21382"/>
                <wp:lineTo x="21542" y="21382"/>
                <wp:lineTo x="21542" y="0"/>
                <wp:lineTo x="0" y="0"/>
              </wp:wrapPolygon>
            </wp:wrapTight>
            <wp:docPr id="1689465936" name="Chart 1">
              <a:extLst xmlns:a="http://schemas.openxmlformats.org/drawingml/2006/main">
                <a:ext uri="{FF2B5EF4-FFF2-40B4-BE49-F238E27FC236}">
                  <a16:creationId xmlns:a16="http://schemas.microsoft.com/office/drawing/2014/main" id="{6C8A21D3-E4F4-F0C0-0945-C974332D00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CA3F01">
        <w:t xml:space="preserve">As </w:t>
      </w:r>
      <w:r w:rsidR="00CA3F01" w:rsidRPr="00CA3F01">
        <w:rPr>
          <w:b/>
          <w:bCs/>
          <w:color w:val="0070C0"/>
        </w:rPr>
        <w:t>Figure 3</w:t>
      </w:r>
      <w:r w:rsidR="00CA3F01">
        <w:t xml:space="preserve"> shows, t</w:t>
      </w:r>
      <w:r w:rsidR="00295CC9">
        <w:t>he</w:t>
      </w:r>
      <w:r w:rsidR="00764C67">
        <w:t xml:space="preserve"> </w:t>
      </w:r>
      <w:r w:rsidR="00295CC9">
        <w:t>year-to-year</w:t>
      </w:r>
      <w:r w:rsidR="00764C67">
        <w:t xml:space="preserve"> </w:t>
      </w:r>
      <w:r w:rsidR="00295CC9">
        <w:t xml:space="preserve">poverty </w:t>
      </w:r>
      <w:r w:rsidR="00764C67">
        <w:t xml:space="preserve">trend </w:t>
      </w:r>
      <w:r w:rsidR="00295CC9">
        <w:t xml:space="preserve">is not uniformed, unpredictable external factors can have a huge influence on levels, as can be seen from the dip in poverty during the pandemic (2020/21). As such Predicting/ Forecasting poverty levels </w:t>
      </w:r>
      <w:r w:rsidR="009B728C">
        <w:t>are only</w:t>
      </w:r>
      <w:r w:rsidR="00295CC9">
        <w:t xml:space="preserve"> estimate</w:t>
      </w:r>
      <w:r w:rsidR="009B728C">
        <w:t>s</w:t>
      </w:r>
      <w:r w:rsidR="00295CC9">
        <w:t xml:space="preserve">. The estimates shown in </w:t>
      </w:r>
      <w:r w:rsidR="00D55AAD">
        <w:t xml:space="preserve">Figure </w:t>
      </w:r>
      <w:r w:rsidR="00295CC9">
        <w:t xml:space="preserve">3 are based upon a 3-year rolling average over the period from 2014-22 and projecting these averages forward to 2030. Factoring </w:t>
      </w:r>
      <w:r w:rsidR="009B728C">
        <w:t xml:space="preserve">in </w:t>
      </w:r>
      <w:r w:rsidR="00295CC9">
        <w:t>these averages, estimated levels in Moray in 2030 (25.6%) will be 3% higher than our comparator median.</w:t>
      </w:r>
      <w:r w:rsidR="00555003">
        <w:t xml:space="preserve"> If the cost of living continues to rise</w:t>
      </w:r>
      <w:r w:rsidR="00D55AAD">
        <w:t>,</w:t>
      </w:r>
      <w:r w:rsidR="00555003">
        <w:t xml:space="preserve"> it is likely that child poverty will rise at a rate greater than currently forecast.</w:t>
      </w:r>
    </w:p>
    <w:p w14:paraId="1F59E1F7" w14:textId="5CFCD0A8" w:rsidR="00764C67" w:rsidRDefault="00DF2D01" w:rsidP="002E0A63">
      <w:r>
        <w:rPr>
          <w:noProof/>
        </w:rPr>
        <mc:AlternateContent>
          <mc:Choice Requires="wps">
            <w:drawing>
              <wp:anchor distT="0" distB="0" distL="114300" distR="114300" simplePos="0" relativeHeight="251662336" behindDoc="0" locked="0" layoutInCell="1" allowOverlap="1" wp14:anchorId="57FC85B0" wp14:editId="4A489159">
                <wp:simplePos x="0" y="0"/>
                <wp:positionH relativeFrom="column">
                  <wp:posOffset>-3810</wp:posOffset>
                </wp:positionH>
                <wp:positionV relativeFrom="paragraph">
                  <wp:posOffset>42545</wp:posOffset>
                </wp:positionV>
                <wp:extent cx="5776595" cy="203200"/>
                <wp:effectExtent l="1905" t="635" r="3175" b="0"/>
                <wp:wrapTight wrapText="bothSides">
                  <wp:wrapPolygon edited="0">
                    <wp:start x="-24" y="0"/>
                    <wp:lineTo x="-24" y="21128"/>
                    <wp:lineTo x="21600" y="21128"/>
                    <wp:lineTo x="21600" y="0"/>
                    <wp:lineTo x="-24" y="0"/>
                  </wp:wrapPolygon>
                </wp:wrapTight>
                <wp:docPr id="9325092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6595" cy="203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4A329B" w14:textId="77777777" w:rsidR="00847E38" w:rsidRPr="00623250" w:rsidRDefault="00847E38" w:rsidP="00847E38">
                            <w:pPr>
                              <w:pStyle w:val="Caption"/>
                              <w:spacing w:after="0"/>
                              <w:rPr>
                                <w:noProof/>
                                <w:sz w:val="20"/>
                                <w:szCs w:val="20"/>
                              </w:rPr>
                            </w:pPr>
                            <w:r>
                              <w:t>Figure 3 - Poverty Forecast 2022/23 - 2029/30</w:t>
                            </w:r>
                          </w:p>
                          <w:p w14:paraId="0DA19BCA" w14:textId="11471500" w:rsidR="00764C67" w:rsidRPr="00623250" w:rsidRDefault="00764C67" w:rsidP="00764C67">
                            <w:pPr>
                              <w:pStyle w:val="Caption"/>
                              <w:spacing w:after="0"/>
                              <w:rPr>
                                <w:noProof/>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C85B0" id="_x0000_t202" coordsize="21600,21600" o:spt="202" path="m,l,21600r21600,l21600,xe">
                <v:stroke joinstyle="miter"/>
                <v:path gradientshapeok="t" o:connecttype="rect"/>
              </v:shapetype>
              <v:shape id="Text Box 8" o:spid="_x0000_s1026" type="#_x0000_t202" style="position:absolute;margin-left:-.3pt;margin-top:3.35pt;width:454.85pt;height: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" stroked="f">
                <v:textbox inset="0,0,0,0">
                  <w:txbxContent>
                    <w:p w14:paraId="014A329B" w14:textId="77777777" w:rsidR="00847E38" w:rsidRPr="00623250" w:rsidRDefault="00847E38" w:rsidP="00847E38">
                      <w:pPr>
                        <w:pStyle w:val="Caption"/>
                        <w:spacing w:after="0"/>
                        <w:rPr>
                          <w:noProof/>
                          <w:sz w:val="20"/>
                          <w:szCs w:val="20"/>
                        </w:rPr>
                      </w:pPr>
                      <w:r>
                        <w:t>Figure 3 - Poverty Forecast 2022/23 - 2029/30</w:t>
                      </w:r>
                    </w:p>
                    <w:p w14:paraId="0DA19BCA" w14:textId="11471500" w:rsidR="00764C67" w:rsidRPr="00623250" w:rsidRDefault="00764C67" w:rsidP="00764C67">
                      <w:pPr>
                        <w:pStyle w:val="Caption"/>
                        <w:spacing w:after="0"/>
                        <w:rPr>
                          <w:noProof/>
                          <w:sz w:val="20"/>
                          <w:szCs w:val="20"/>
                        </w:rPr>
                      </w:pPr>
                    </w:p>
                  </w:txbxContent>
                </v:textbox>
                <w10:wrap type="tight"/>
              </v:shape>
            </w:pict>
          </mc:Fallback>
        </mc:AlternateContent>
      </w:r>
    </w:p>
    <w:p w14:paraId="366CD65F" w14:textId="77777777" w:rsidR="00764C67" w:rsidRDefault="00764C67" w:rsidP="002E0A63"/>
    <w:p w14:paraId="02EB458D" w14:textId="0C50B25C" w:rsidR="002E0A63" w:rsidRPr="007F38A1" w:rsidRDefault="002E0A63" w:rsidP="002E0A63">
      <w:r w:rsidRPr="00CA3F01">
        <w:rPr>
          <w:b/>
          <w:bCs/>
          <w:color w:val="0070C0"/>
        </w:rPr>
        <w:lastRenderedPageBreak/>
        <w:t xml:space="preserve">Figure </w:t>
      </w:r>
      <w:r w:rsidR="00764C67" w:rsidRPr="00CA3F01">
        <w:rPr>
          <w:b/>
          <w:bCs/>
          <w:color w:val="0070C0"/>
        </w:rPr>
        <w:t>4</w:t>
      </w:r>
      <w:r>
        <w:t xml:space="preserve"> shows how </w:t>
      </w:r>
      <w:r w:rsidR="001342CE">
        <w:t xml:space="preserve">child </w:t>
      </w:r>
      <w:r>
        <w:t>poverty levels have changed between 2014 and 2022</w:t>
      </w:r>
      <w:r w:rsidR="001342CE">
        <w:t xml:space="preserve"> with</w:t>
      </w:r>
      <w:r w:rsidR="000C110E">
        <w:t>in</w:t>
      </w:r>
      <w:r w:rsidR="001342CE">
        <w:t xml:space="preserve"> our comparator authority group. Over this period child poverty in Moray has risen</w:t>
      </w:r>
      <w:r w:rsidR="009B4592">
        <w:t xml:space="preserve"> at</w:t>
      </w:r>
      <w:r w:rsidR="001342CE">
        <w:t xml:space="preserve"> </w:t>
      </w:r>
      <w:r w:rsidR="00420FEB">
        <w:t>a greater rate</w:t>
      </w:r>
      <w:r w:rsidR="00305C40">
        <w:t xml:space="preserve"> </w:t>
      </w:r>
      <w:r w:rsidR="008F170D">
        <w:t>(3.2%) in comparison with the average rise within</w:t>
      </w:r>
      <w:r w:rsidR="00305C40">
        <w:t xml:space="preserve"> our comparators</w:t>
      </w:r>
      <w:r w:rsidR="008F170D">
        <w:t xml:space="preserve"> (1.3%)</w:t>
      </w:r>
      <w:r w:rsidR="00305C40">
        <w:t>. The</w:t>
      </w:r>
      <w:r w:rsidR="008F170D">
        <w:t xml:space="preserve"> darker</w:t>
      </w:r>
      <w:r w:rsidR="00305C40">
        <w:t xml:space="preserve"> map </w:t>
      </w:r>
      <w:r w:rsidR="008F170D">
        <w:t xml:space="preserve">colours </w:t>
      </w:r>
      <w:r w:rsidR="00305C40">
        <w:t>highlight the extent of th</w:t>
      </w:r>
      <w:r w:rsidR="00866C3A">
        <w:t>e</w:t>
      </w:r>
      <w:r w:rsidR="00305C40">
        <w:t xml:space="preserve"> rise</w:t>
      </w:r>
      <w:r w:rsidR="008F170D">
        <w:t>s for Moray and our comparator authorities.</w:t>
      </w:r>
    </w:p>
    <w:p w14:paraId="02226F5E" w14:textId="50054F7F" w:rsidR="00A2425F" w:rsidRDefault="001F75B1" w:rsidP="00764C67">
      <w:pPr>
        <w:pStyle w:val="Caption"/>
        <w:keepNext/>
        <w:spacing w:after="0"/>
      </w:pPr>
      <w:r>
        <w:t>Figure</w:t>
      </w:r>
      <w:r w:rsidR="00A2425F">
        <w:t xml:space="preserve"> </w:t>
      </w:r>
      <w:r w:rsidR="00764C67">
        <w:t>4</w:t>
      </w:r>
      <w:r w:rsidR="00A2425F">
        <w:t xml:space="preserve"> - Moray vs Comparator Authorities (Change in Poverty 2014-22)</w:t>
      </w:r>
    </w:p>
    <w:tbl>
      <w:tblPr>
        <w:tblpPr w:leftFromText="180" w:rightFromText="180" w:vertAnchor="text" w:horzAnchor="margin" w:tblpXSpec="right" w:tblpY="45"/>
        <w:tblW w:w="3652" w:type="dxa"/>
        <w:tblLook w:val="04A0" w:firstRow="1" w:lastRow="0" w:firstColumn="1" w:lastColumn="0" w:noHBand="0" w:noVBand="1"/>
      </w:tblPr>
      <w:tblGrid>
        <w:gridCol w:w="1005"/>
        <w:gridCol w:w="1797"/>
        <w:gridCol w:w="850"/>
      </w:tblGrid>
      <w:tr w:rsidR="00847E38" w:rsidRPr="00DA15E9" w14:paraId="3361F58C" w14:textId="77777777" w:rsidTr="00847E38">
        <w:trPr>
          <w:trHeight w:val="263"/>
        </w:trPr>
        <w:tc>
          <w:tcPr>
            <w:tcW w:w="1005" w:type="dxa"/>
            <w:tcBorders>
              <w:top w:val="single" w:sz="8" w:space="0" w:color="auto"/>
              <w:left w:val="single" w:sz="8" w:space="0" w:color="auto"/>
              <w:bottom w:val="single" w:sz="4" w:space="0" w:color="auto"/>
              <w:right w:val="single" w:sz="4" w:space="0" w:color="auto"/>
            </w:tcBorders>
            <w:shd w:val="clear" w:color="000000" w:fill="000000"/>
            <w:noWrap/>
            <w:vAlign w:val="bottom"/>
            <w:hideMark/>
          </w:tcPr>
          <w:p w14:paraId="17D9CBBE" w14:textId="77777777" w:rsidR="00847E38" w:rsidRPr="00E25F61" w:rsidRDefault="00847E38" w:rsidP="00847E38">
            <w:pPr>
              <w:spacing w:before="0" w:after="0" w:line="240" w:lineRule="auto"/>
              <w:rPr>
                <w:rFonts w:eastAsia="Times New Roman" w:cstheme="minorHAnsi"/>
                <w:b/>
                <w:bCs/>
                <w:color w:val="FFFFFF"/>
                <w:lang w:eastAsia="en-GB"/>
              </w:rPr>
            </w:pPr>
            <w:r w:rsidRPr="00E25F61">
              <w:rPr>
                <w:rFonts w:eastAsia="Times New Roman" w:cstheme="minorHAnsi"/>
                <w:b/>
                <w:bCs/>
                <w:color w:val="FFFFFF"/>
                <w:lang w:eastAsia="en-GB"/>
              </w:rPr>
              <w:t>Ranking</w:t>
            </w:r>
          </w:p>
        </w:tc>
        <w:tc>
          <w:tcPr>
            <w:tcW w:w="1797" w:type="dxa"/>
            <w:tcBorders>
              <w:top w:val="single" w:sz="8" w:space="0" w:color="auto"/>
              <w:left w:val="nil"/>
              <w:bottom w:val="single" w:sz="4" w:space="0" w:color="auto"/>
              <w:right w:val="single" w:sz="4" w:space="0" w:color="auto"/>
            </w:tcBorders>
            <w:shd w:val="clear" w:color="000000" w:fill="000000"/>
            <w:noWrap/>
            <w:vAlign w:val="bottom"/>
            <w:hideMark/>
          </w:tcPr>
          <w:p w14:paraId="1969E954" w14:textId="77777777" w:rsidR="00847E38" w:rsidRPr="00E25F61" w:rsidRDefault="00847E38" w:rsidP="00847E38">
            <w:pPr>
              <w:spacing w:before="0" w:after="0" w:line="240" w:lineRule="auto"/>
              <w:rPr>
                <w:rFonts w:eastAsia="Times New Roman" w:cstheme="minorHAnsi"/>
                <w:b/>
                <w:bCs/>
                <w:color w:val="FFFFFF"/>
                <w:lang w:eastAsia="en-GB"/>
              </w:rPr>
            </w:pPr>
            <w:r w:rsidRPr="00E25F61">
              <w:rPr>
                <w:rFonts w:eastAsia="Times New Roman" w:cstheme="minorHAnsi"/>
                <w:b/>
                <w:bCs/>
                <w:color w:val="FFFFFF"/>
                <w:lang w:eastAsia="en-GB"/>
              </w:rPr>
              <w:t>Scotland</w:t>
            </w:r>
          </w:p>
        </w:tc>
        <w:tc>
          <w:tcPr>
            <w:tcW w:w="850" w:type="dxa"/>
            <w:tcBorders>
              <w:top w:val="single" w:sz="8" w:space="0" w:color="auto"/>
              <w:left w:val="nil"/>
              <w:bottom w:val="single" w:sz="4" w:space="0" w:color="auto"/>
              <w:right w:val="single" w:sz="8" w:space="0" w:color="auto"/>
            </w:tcBorders>
            <w:shd w:val="clear" w:color="000000" w:fill="000000"/>
            <w:noWrap/>
            <w:vAlign w:val="bottom"/>
            <w:hideMark/>
          </w:tcPr>
          <w:p w14:paraId="0F2902ED" w14:textId="77777777" w:rsidR="00847E38" w:rsidRPr="00E25F61" w:rsidRDefault="00847E38" w:rsidP="00847E38">
            <w:pPr>
              <w:spacing w:before="0" w:after="0" w:line="240" w:lineRule="auto"/>
              <w:jc w:val="center"/>
              <w:rPr>
                <w:rFonts w:eastAsia="Times New Roman" w:cstheme="minorHAnsi"/>
                <w:b/>
                <w:bCs/>
                <w:color w:val="FFFFFF"/>
                <w:lang w:eastAsia="en-GB"/>
              </w:rPr>
            </w:pPr>
            <w:r w:rsidRPr="00E25F61">
              <w:rPr>
                <w:rFonts w:eastAsia="Times New Roman" w:cstheme="minorHAnsi"/>
                <w:b/>
                <w:bCs/>
                <w:color w:val="FFFFFF"/>
                <w:lang w:eastAsia="en-GB"/>
              </w:rPr>
              <w:t>2.9%</w:t>
            </w:r>
          </w:p>
        </w:tc>
      </w:tr>
      <w:tr w:rsidR="00847E38" w:rsidRPr="00DA15E9" w14:paraId="1EA94358" w14:textId="77777777" w:rsidTr="00847E38">
        <w:trPr>
          <w:trHeight w:val="263"/>
        </w:trPr>
        <w:tc>
          <w:tcPr>
            <w:tcW w:w="1005" w:type="dxa"/>
            <w:tcBorders>
              <w:top w:val="nil"/>
              <w:left w:val="single" w:sz="8" w:space="0" w:color="auto"/>
              <w:bottom w:val="single" w:sz="4" w:space="0" w:color="auto"/>
              <w:right w:val="single" w:sz="4" w:space="0" w:color="auto"/>
            </w:tcBorders>
            <w:shd w:val="clear" w:color="000000" w:fill="FCE4D6"/>
            <w:noWrap/>
            <w:vAlign w:val="bottom"/>
            <w:hideMark/>
          </w:tcPr>
          <w:p w14:paraId="5015BF38" w14:textId="77777777" w:rsidR="00847E38" w:rsidRPr="00E25F61" w:rsidRDefault="00847E38" w:rsidP="00847E38">
            <w:pPr>
              <w:spacing w:before="0" w:after="0" w:line="240" w:lineRule="auto"/>
              <w:jc w:val="center"/>
              <w:rPr>
                <w:rFonts w:eastAsia="Times New Roman" w:cstheme="minorHAnsi"/>
                <w:b/>
                <w:bCs/>
                <w:lang w:eastAsia="en-GB"/>
              </w:rPr>
            </w:pPr>
            <w:r w:rsidRPr="00E25F61">
              <w:rPr>
                <w:rFonts w:eastAsia="Times New Roman" w:cstheme="minorHAnsi"/>
                <w:b/>
                <w:bCs/>
                <w:lang w:eastAsia="en-GB"/>
              </w:rPr>
              <w:t>1</w:t>
            </w:r>
          </w:p>
        </w:tc>
        <w:tc>
          <w:tcPr>
            <w:tcW w:w="1797" w:type="dxa"/>
            <w:tcBorders>
              <w:top w:val="nil"/>
              <w:left w:val="nil"/>
              <w:bottom w:val="single" w:sz="4" w:space="0" w:color="auto"/>
              <w:right w:val="single" w:sz="4" w:space="0" w:color="auto"/>
            </w:tcBorders>
            <w:shd w:val="clear" w:color="000000" w:fill="FCE4D6"/>
            <w:noWrap/>
            <w:vAlign w:val="bottom"/>
            <w:hideMark/>
          </w:tcPr>
          <w:p w14:paraId="6D55AC7F" w14:textId="77777777" w:rsidR="00847E38" w:rsidRPr="00E25F61" w:rsidRDefault="00847E38" w:rsidP="00847E38">
            <w:pPr>
              <w:spacing w:before="0" w:after="0" w:line="240" w:lineRule="auto"/>
              <w:rPr>
                <w:rFonts w:eastAsia="Times New Roman" w:cstheme="minorHAnsi"/>
                <w:b/>
                <w:bCs/>
                <w:lang w:eastAsia="en-GB"/>
              </w:rPr>
            </w:pPr>
            <w:r w:rsidRPr="00E25F61">
              <w:rPr>
                <w:rFonts w:eastAsia="Times New Roman" w:cstheme="minorHAnsi"/>
                <w:b/>
                <w:bCs/>
                <w:lang w:eastAsia="en-GB"/>
              </w:rPr>
              <w:t>Moray</w:t>
            </w:r>
          </w:p>
        </w:tc>
        <w:tc>
          <w:tcPr>
            <w:tcW w:w="850" w:type="dxa"/>
            <w:tcBorders>
              <w:top w:val="nil"/>
              <w:left w:val="nil"/>
              <w:bottom w:val="single" w:sz="4" w:space="0" w:color="auto"/>
              <w:right w:val="single" w:sz="8" w:space="0" w:color="auto"/>
            </w:tcBorders>
            <w:shd w:val="clear" w:color="000000" w:fill="FCE4D6"/>
            <w:noWrap/>
            <w:vAlign w:val="bottom"/>
            <w:hideMark/>
          </w:tcPr>
          <w:p w14:paraId="0AC76639" w14:textId="77777777" w:rsidR="00847E38" w:rsidRPr="00E25F61" w:rsidRDefault="00847E38" w:rsidP="00847E38">
            <w:pPr>
              <w:spacing w:before="0" w:after="0" w:line="240" w:lineRule="auto"/>
              <w:jc w:val="center"/>
              <w:rPr>
                <w:rFonts w:eastAsia="Times New Roman" w:cstheme="minorHAnsi"/>
                <w:b/>
                <w:bCs/>
                <w:lang w:eastAsia="en-GB"/>
              </w:rPr>
            </w:pPr>
            <w:r w:rsidRPr="00E25F61">
              <w:rPr>
                <w:rFonts w:eastAsia="Times New Roman" w:cstheme="minorHAnsi"/>
                <w:b/>
                <w:bCs/>
                <w:lang w:eastAsia="en-GB"/>
              </w:rPr>
              <w:t>3.2%</w:t>
            </w:r>
          </w:p>
        </w:tc>
      </w:tr>
      <w:tr w:rsidR="00847E38" w:rsidRPr="00DA15E9" w14:paraId="3D6F2487" w14:textId="77777777" w:rsidTr="00847E38">
        <w:trPr>
          <w:trHeight w:val="263"/>
        </w:trPr>
        <w:tc>
          <w:tcPr>
            <w:tcW w:w="1005" w:type="dxa"/>
            <w:tcBorders>
              <w:top w:val="nil"/>
              <w:left w:val="single" w:sz="8" w:space="0" w:color="auto"/>
              <w:bottom w:val="single" w:sz="4" w:space="0" w:color="auto"/>
              <w:right w:val="single" w:sz="4" w:space="0" w:color="auto"/>
            </w:tcBorders>
            <w:shd w:val="clear" w:color="auto" w:fill="auto"/>
            <w:noWrap/>
            <w:vAlign w:val="bottom"/>
            <w:hideMark/>
          </w:tcPr>
          <w:p w14:paraId="5E894801" w14:textId="77777777" w:rsidR="00847E38" w:rsidRPr="00E25F61" w:rsidRDefault="00847E38" w:rsidP="00847E38">
            <w:pPr>
              <w:spacing w:before="0" w:after="0" w:line="240" w:lineRule="auto"/>
              <w:jc w:val="center"/>
              <w:rPr>
                <w:rFonts w:eastAsia="Times New Roman" w:cstheme="minorHAnsi"/>
                <w:lang w:eastAsia="en-GB"/>
              </w:rPr>
            </w:pPr>
            <w:r w:rsidRPr="00E25F61">
              <w:rPr>
                <w:rFonts w:eastAsia="Times New Roman" w:cstheme="minorHAnsi"/>
                <w:lang w:eastAsia="en-GB"/>
              </w:rPr>
              <w:t>2</w:t>
            </w:r>
          </w:p>
        </w:tc>
        <w:tc>
          <w:tcPr>
            <w:tcW w:w="1797" w:type="dxa"/>
            <w:tcBorders>
              <w:top w:val="nil"/>
              <w:left w:val="nil"/>
              <w:bottom w:val="single" w:sz="4" w:space="0" w:color="auto"/>
              <w:right w:val="single" w:sz="4" w:space="0" w:color="auto"/>
            </w:tcBorders>
            <w:shd w:val="clear" w:color="auto" w:fill="auto"/>
            <w:noWrap/>
            <w:vAlign w:val="bottom"/>
            <w:hideMark/>
          </w:tcPr>
          <w:p w14:paraId="539C41AD" w14:textId="77777777" w:rsidR="00847E38" w:rsidRPr="00E25F61" w:rsidRDefault="00847E38" w:rsidP="00847E38">
            <w:pPr>
              <w:spacing w:before="0" w:after="0" w:line="240" w:lineRule="auto"/>
              <w:rPr>
                <w:rFonts w:eastAsia="Times New Roman" w:cstheme="minorHAnsi"/>
                <w:lang w:eastAsia="en-GB"/>
              </w:rPr>
            </w:pPr>
            <w:r w:rsidRPr="00E25F61">
              <w:rPr>
                <w:rFonts w:eastAsia="Times New Roman" w:cstheme="minorHAnsi"/>
                <w:lang w:eastAsia="en-GB"/>
              </w:rPr>
              <w:t>Angus</w:t>
            </w:r>
          </w:p>
        </w:tc>
        <w:tc>
          <w:tcPr>
            <w:tcW w:w="850" w:type="dxa"/>
            <w:tcBorders>
              <w:top w:val="nil"/>
              <w:left w:val="nil"/>
              <w:bottom w:val="single" w:sz="4" w:space="0" w:color="auto"/>
              <w:right w:val="single" w:sz="8" w:space="0" w:color="auto"/>
            </w:tcBorders>
            <w:shd w:val="clear" w:color="auto" w:fill="auto"/>
            <w:noWrap/>
            <w:vAlign w:val="bottom"/>
            <w:hideMark/>
          </w:tcPr>
          <w:p w14:paraId="2C907898" w14:textId="22DAD52E" w:rsidR="00847E38" w:rsidRPr="00E25F61" w:rsidRDefault="002B5109" w:rsidP="00847E38">
            <w:pPr>
              <w:spacing w:before="0" w:after="0" w:line="240" w:lineRule="auto"/>
              <w:jc w:val="center"/>
              <w:rPr>
                <w:rFonts w:eastAsia="Times New Roman" w:cstheme="minorHAnsi"/>
                <w:lang w:eastAsia="en-GB"/>
              </w:rPr>
            </w:pPr>
            <w:r>
              <w:rPr>
                <w:rFonts w:eastAsia="Times New Roman" w:cstheme="minorHAnsi"/>
                <w:lang w:eastAsia="en-GB"/>
              </w:rPr>
              <w:t>3.1</w:t>
            </w:r>
            <w:r w:rsidR="00847E38" w:rsidRPr="00E25F61">
              <w:rPr>
                <w:rFonts w:eastAsia="Times New Roman" w:cstheme="minorHAnsi"/>
                <w:lang w:eastAsia="en-GB"/>
              </w:rPr>
              <w:t>%</w:t>
            </w:r>
          </w:p>
        </w:tc>
      </w:tr>
      <w:tr w:rsidR="00847E38" w:rsidRPr="00DA15E9" w14:paraId="015349B7" w14:textId="77777777" w:rsidTr="00847E38">
        <w:trPr>
          <w:trHeight w:val="255"/>
        </w:trPr>
        <w:tc>
          <w:tcPr>
            <w:tcW w:w="1005" w:type="dxa"/>
            <w:tcBorders>
              <w:top w:val="nil"/>
              <w:left w:val="single" w:sz="8" w:space="0" w:color="auto"/>
              <w:bottom w:val="single" w:sz="4" w:space="0" w:color="auto"/>
              <w:right w:val="single" w:sz="4" w:space="0" w:color="auto"/>
            </w:tcBorders>
            <w:shd w:val="clear" w:color="auto" w:fill="auto"/>
            <w:noWrap/>
            <w:vAlign w:val="bottom"/>
            <w:hideMark/>
          </w:tcPr>
          <w:p w14:paraId="6BD9298E" w14:textId="77777777" w:rsidR="00847E38" w:rsidRPr="00E25F61" w:rsidRDefault="00847E38" w:rsidP="00847E38">
            <w:pPr>
              <w:spacing w:before="0" w:after="0" w:line="240" w:lineRule="auto"/>
              <w:jc w:val="center"/>
              <w:rPr>
                <w:rFonts w:eastAsia="Times New Roman" w:cstheme="minorHAnsi"/>
                <w:lang w:eastAsia="en-GB"/>
              </w:rPr>
            </w:pPr>
            <w:r w:rsidRPr="00E25F61">
              <w:rPr>
                <w:rFonts w:eastAsia="Times New Roman" w:cstheme="minorHAnsi"/>
                <w:lang w:eastAsia="en-GB"/>
              </w:rPr>
              <w:t>3</w:t>
            </w:r>
          </w:p>
        </w:tc>
        <w:tc>
          <w:tcPr>
            <w:tcW w:w="1797" w:type="dxa"/>
            <w:tcBorders>
              <w:top w:val="nil"/>
              <w:left w:val="nil"/>
              <w:bottom w:val="single" w:sz="4" w:space="0" w:color="auto"/>
              <w:right w:val="single" w:sz="4" w:space="0" w:color="auto"/>
            </w:tcBorders>
            <w:shd w:val="clear" w:color="auto" w:fill="auto"/>
            <w:noWrap/>
            <w:vAlign w:val="bottom"/>
            <w:hideMark/>
          </w:tcPr>
          <w:p w14:paraId="051C169D" w14:textId="77777777" w:rsidR="00847E38" w:rsidRPr="00E25F61" w:rsidRDefault="00847E38" w:rsidP="00847E38">
            <w:pPr>
              <w:spacing w:before="0" w:after="0" w:line="240" w:lineRule="auto"/>
              <w:rPr>
                <w:rFonts w:eastAsia="Times New Roman" w:cstheme="minorHAnsi"/>
                <w:lang w:eastAsia="en-GB"/>
              </w:rPr>
            </w:pPr>
            <w:r w:rsidRPr="00E25F61">
              <w:rPr>
                <w:rFonts w:eastAsia="Times New Roman" w:cstheme="minorHAnsi"/>
                <w:lang w:eastAsia="en-GB"/>
              </w:rPr>
              <w:t>Scottish Borders</w:t>
            </w:r>
          </w:p>
        </w:tc>
        <w:tc>
          <w:tcPr>
            <w:tcW w:w="850" w:type="dxa"/>
            <w:tcBorders>
              <w:top w:val="nil"/>
              <w:left w:val="nil"/>
              <w:bottom w:val="single" w:sz="4" w:space="0" w:color="auto"/>
              <w:right w:val="single" w:sz="8" w:space="0" w:color="auto"/>
            </w:tcBorders>
            <w:shd w:val="clear" w:color="auto" w:fill="auto"/>
            <w:noWrap/>
            <w:vAlign w:val="bottom"/>
            <w:hideMark/>
          </w:tcPr>
          <w:p w14:paraId="219C396A" w14:textId="77777777" w:rsidR="00847E38" w:rsidRPr="00E25F61" w:rsidRDefault="00847E38" w:rsidP="00847E38">
            <w:pPr>
              <w:spacing w:before="0" w:after="0" w:line="240" w:lineRule="auto"/>
              <w:jc w:val="center"/>
              <w:rPr>
                <w:rFonts w:eastAsia="Times New Roman" w:cstheme="minorHAnsi"/>
                <w:lang w:eastAsia="en-GB"/>
              </w:rPr>
            </w:pPr>
            <w:r w:rsidRPr="00E25F61">
              <w:rPr>
                <w:rFonts w:eastAsia="Times New Roman" w:cstheme="minorHAnsi"/>
                <w:lang w:eastAsia="en-GB"/>
              </w:rPr>
              <w:t>2.5%</w:t>
            </w:r>
          </w:p>
        </w:tc>
      </w:tr>
      <w:tr w:rsidR="00847E38" w:rsidRPr="00DA15E9" w14:paraId="470C493E" w14:textId="77777777" w:rsidTr="00847E38">
        <w:trPr>
          <w:trHeight w:val="255"/>
        </w:trPr>
        <w:tc>
          <w:tcPr>
            <w:tcW w:w="1005" w:type="dxa"/>
            <w:tcBorders>
              <w:top w:val="nil"/>
              <w:left w:val="single" w:sz="8" w:space="0" w:color="auto"/>
              <w:bottom w:val="single" w:sz="4" w:space="0" w:color="auto"/>
              <w:right w:val="single" w:sz="4" w:space="0" w:color="auto"/>
            </w:tcBorders>
            <w:shd w:val="clear" w:color="auto" w:fill="auto"/>
            <w:noWrap/>
            <w:vAlign w:val="bottom"/>
            <w:hideMark/>
          </w:tcPr>
          <w:p w14:paraId="733F996A" w14:textId="77777777" w:rsidR="00847E38" w:rsidRPr="00E25F61" w:rsidRDefault="00847E38" w:rsidP="00847E38">
            <w:pPr>
              <w:spacing w:before="0" w:after="0" w:line="240" w:lineRule="auto"/>
              <w:jc w:val="center"/>
              <w:rPr>
                <w:rFonts w:eastAsia="Times New Roman" w:cstheme="minorHAnsi"/>
                <w:lang w:eastAsia="en-GB"/>
              </w:rPr>
            </w:pPr>
            <w:r w:rsidRPr="00E25F61">
              <w:rPr>
                <w:rFonts w:eastAsia="Times New Roman" w:cstheme="minorHAnsi"/>
                <w:lang w:eastAsia="en-GB"/>
              </w:rPr>
              <w:t>4</w:t>
            </w:r>
          </w:p>
        </w:tc>
        <w:tc>
          <w:tcPr>
            <w:tcW w:w="1797" w:type="dxa"/>
            <w:tcBorders>
              <w:top w:val="nil"/>
              <w:left w:val="nil"/>
              <w:bottom w:val="single" w:sz="4" w:space="0" w:color="auto"/>
              <w:right w:val="single" w:sz="4" w:space="0" w:color="auto"/>
            </w:tcBorders>
            <w:shd w:val="clear" w:color="auto" w:fill="auto"/>
            <w:noWrap/>
            <w:vAlign w:val="bottom"/>
            <w:hideMark/>
          </w:tcPr>
          <w:p w14:paraId="69ED7097" w14:textId="77777777" w:rsidR="00847E38" w:rsidRPr="00E25F61" w:rsidRDefault="00847E38" w:rsidP="00847E38">
            <w:pPr>
              <w:spacing w:before="0" w:after="0" w:line="240" w:lineRule="auto"/>
              <w:rPr>
                <w:rFonts w:eastAsia="Times New Roman" w:cstheme="minorHAnsi"/>
                <w:lang w:eastAsia="en-GB"/>
              </w:rPr>
            </w:pPr>
            <w:r w:rsidRPr="00E25F61">
              <w:rPr>
                <w:rFonts w:eastAsia="Times New Roman" w:cstheme="minorHAnsi"/>
                <w:lang w:eastAsia="en-GB"/>
              </w:rPr>
              <w:t>Highland</w:t>
            </w:r>
          </w:p>
        </w:tc>
        <w:tc>
          <w:tcPr>
            <w:tcW w:w="850" w:type="dxa"/>
            <w:tcBorders>
              <w:top w:val="nil"/>
              <w:left w:val="nil"/>
              <w:bottom w:val="single" w:sz="4" w:space="0" w:color="auto"/>
              <w:right w:val="single" w:sz="8" w:space="0" w:color="auto"/>
            </w:tcBorders>
            <w:shd w:val="clear" w:color="auto" w:fill="auto"/>
            <w:noWrap/>
            <w:vAlign w:val="bottom"/>
            <w:hideMark/>
          </w:tcPr>
          <w:p w14:paraId="55054A9D" w14:textId="77777777" w:rsidR="00847E38" w:rsidRPr="00E25F61" w:rsidRDefault="00847E38" w:rsidP="00847E38">
            <w:pPr>
              <w:spacing w:before="0" w:after="0" w:line="240" w:lineRule="auto"/>
              <w:jc w:val="center"/>
              <w:rPr>
                <w:rFonts w:eastAsia="Times New Roman" w:cstheme="minorHAnsi"/>
                <w:lang w:eastAsia="en-GB"/>
              </w:rPr>
            </w:pPr>
            <w:r w:rsidRPr="00E25F61">
              <w:rPr>
                <w:rFonts w:eastAsia="Times New Roman" w:cstheme="minorHAnsi"/>
                <w:lang w:eastAsia="en-GB"/>
              </w:rPr>
              <w:t>1.4%</w:t>
            </w:r>
          </w:p>
        </w:tc>
      </w:tr>
      <w:tr w:rsidR="00847E38" w:rsidRPr="00DA15E9" w14:paraId="0FA689F1" w14:textId="77777777" w:rsidTr="00847E38">
        <w:trPr>
          <w:trHeight w:val="255"/>
        </w:trPr>
        <w:tc>
          <w:tcPr>
            <w:tcW w:w="1005" w:type="dxa"/>
            <w:tcBorders>
              <w:top w:val="nil"/>
              <w:left w:val="single" w:sz="8" w:space="0" w:color="auto"/>
              <w:bottom w:val="single" w:sz="4" w:space="0" w:color="auto"/>
              <w:right w:val="single" w:sz="4" w:space="0" w:color="auto"/>
            </w:tcBorders>
            <w:shd w:val="clear" w:color="auto" w:fill="auto"/>
            <w:noWrap/>
            <w:vAlign w:val="bottom"/>
            <w:hideMark/>
          </w:tcPr>
          <w:p w14:paraId="3D62B20E" w14:textId="77777777" w:rsidR="00847E38" w:rsidRPr="00E25F61" w:rsidRDefault="00847E38" w:rsidP="00847E38">
            <w:pPr>
              <w:spacing w:before="0" w:after="0" w:line="240" w:lineRule="auto"/>
              <w:jc w:val="center"/>
              <w:rPr>
                <w:rFonts w:eastAsia="Times New Roman" w:cstheme="minorHAnsi"/>
                <w:lang w:eastAsia="en-GB"/>
              </w:rPr>
            </w:pPr>
            <w:r w:rsidRPr="00E25F61">
              <w:rPr>
                <w:rFonts w:eastAsia="Times New Roman" w:cstheme="minorHAnsi"/>
                <w:lang w:eastAsia="en-GB"/>
              </w:rPr>
              <w:t>5</w:t>
            </w:r>
          </w:p>
        </w:tc>
        <w:tc>
          <w:tcPr>
            <w:tcW w:w="1797" w:type="dxa"/>
            <w:tcBorders>
              <w:top w:val="nil"/>
              <w:left w:val="nil"/>
              <w:bottom w:val="single" w:sz="4" w:space="0" w:color="auto"/>
              <w:right w:val="single" w:sz="4" w:space="0" w:color="auto"/>
            </w:tcBorders>
            <w:shd w:val="clear" w:color="auto" w:fill="auto"/>
            <w:noWrap/>
            <w:vAlign w:val="bottom"/>
            <w:hideMark/>
          </w:tcPr>
          <w:p w14:paraId="0E559775" w14:textId="77777777" w:rsidR="00847E38" w:rsidRPr="00E25F61" w:rsidRDefault="00847E38" w:rsidP="00847E38">
            <w:pPr>
              <w:spacing w:before="0" w:after="0" w:line="240" w:lineRule="auto"/>
              <w:rPr>
                <w:rFonts w:eastAsia="Times New Roman" w:cstheme="minorHAnsi"/>
                <w:lang w:eastAsia="en-GB"/>
              </w:rPr>
            </w:pPr>
            <w:r w:rsidRPr="00E25F61">
              <w:rPr>
                <w:rFonts w:eastAsia="Times New Roman" w:cstheme="minorHAnsi"/>
                <w:lang w:eastAsia="en-GB"/>
              </w:rPr>
              <w:t>Stirling</w:t>
            </w:r>
          </w:p>
        </w:tc>
        <w:tc>
          <w:tcPr>
            <w:tcW w:w="850" w:type="dxa"/>
            <w:tcBorders>
              <w:top w:val="nil"/>
              <w:left w:val="nil"/>
              <w:bottom w:val="single" w:sz="4" w:space="0" w:color="auto"/>
              <w:right w:val="single" w:sz="8" w:space="0" w:color="auto"/>
            </w:tcBorders>
            <w:shd w:val="clear" w:color="auto" w:fill="auto"/>
            <w:noWrap/>
            <w:vAlign w:val="bottom"/>
            <w:hideMark/>
          </w:tcPr>
          <w:p w14:paraId="04A02B37" w14:textId="77777777" w:rsidR="00847E38" w:rsidRPr="00E25F61" w:rsidRDefault="00847E38" w:rsidP="00847E38">
            <w:pPr>
              <w:spacing w:before="0" w:after="0" w:line="240" w:lineRule="auto"/>
              <w:jc w:val="center"/>
              <w:rPr>
                <w:rFonts w:eastAsia="Times New Roman" w:cstheme="minorHAnsi"/>
                <w:lang w:eastAsia="en-GB"/>
              </w:rPr>
            </w:pPr>
            <w:r w:rsidRPr="00E25F61">
              <w:rPr>
                <w:rFonts w:eastAsia="Times New Roman" w:cstheme="minorHAnsi"/>
                <w:lang w:eastAsia="en-GB"/>
              </w:rPr>
              <w:t>1.2%</w:t>
            </w:r>
          </w:p>
        </w:tc>
      </w:tr>
      <w:tr w:rsidR="00847E38" w:rsidRPr="00DA15E9" w14:paraId="6BE6371E" w14:textId="77777777" w:rsidTr="00847E38">
        <w:trPr>
          <w:trHeight w:val="255"/>
        </w:trPr>
        <w:tc>
          <w:tcPr>
            <w:tcW w:w="1005" w:type="dxa"/>
            <w:tcBorders>
              <w:top w:val="nil"/>
              <w:left w:val="single" w:sz="8" w:space="0" w:color="auto"/>
              <w:bottom w:val="single" w:sz="4" w:space="0" w:color="auto"/>
              <w:right w:val="single" w:sz="4" w:space="0" w:color="auto"/>
            </w:tcBorders>
            <w:shd w:val="clear" w:color="auto" w:fill="auto"/>
            <w:noWrap/>
            <w:vAlign w:val="bottom"/>
            <w:hideMark/>
          </w:tcPr>
          <w:p w14:paraId="0306956E" w14:textId="77777777" w:rsidR="00847E38" w:rsidRPr="00E25F61" w:rsidRDefault="00847E38" w:rsidP="00847E38">
            <w:pPr>
              <w:spacing w:before="0" w:after="0" w:line="240" w:lineRule="auto"/>
              <w:jc w:val="center"/>
              <w:rPr>
                <w:rFonts w:eastAsia="Times New Roman" w:cstheme="minorHAnsi"/>
                <w:lang w:eastAsia="en-GB"/>
              </w:rPr>
            </w:pPr>
            <w:r w:rsidRPr="00E25F61">
              <w:rPr>
                <w:rFonts w:eastAsia="Times New Roman" w:cstheme="minorHAnsi"/>
                <w:lang w:eastAsia="en-GB"/>
              </w:rPr>
              <w:t>6</w:t>
            </w:r>
          </w:p>
        </w:tc>
        <w:tc>
          <w:tcPr>
            <w:tcW w:w="1797" w:type="dxa"/>
            <w:tcBorders>
              <w:top w:val="nil"/>
              <w:left w:val="nil"/>
              <w:bottom w:val="single" w:sz="4" w:space="0" w:color="auto"/>
              <w:right w:val="single" w:sz="4" w:space="0" w:color="auto"/>
            </w:tcBorders>
            <w:shd w:val="clear" w:color="auto" w:fill="auto"/>
            <w:noWrap/>
            <w:vAlign w:val="bottom"/>
            <w:hideMark/>
          </w:tcPr>
          <w:p w14:paraId="2E9F5D40" w14:textId="77777777" w:rsidR="00847E38" w:rsidRPr="00E25F61" w:rsidRDefault="00847E38" w:rsidP="00847E38">
            <w:pPr>
              <w:spacing w:before="0" w:after="0" w:line="240" w:lineRule="auto"/>
              <w:rPr>
                <w:rFonts w:eastAsia="Times New Roman" w:cstheme="minorHAnsi"/>
                <w:lang w:eastAsia="en-GB"/>
              </w:rPr>
            </w:pPr>
            <w:r w:rsidRPr="00E25F61">
              <w:rPr>
                <w:rFonts w:eastAsia="Times New Roman" w:cstheme="minorHAnsi"/>
                <w:lang w:eastAsia="en-GB"/>
              </w:rPr>
              <w:t>Argyll &amp; Bute</w:t>
            </w:r>
          </w:p>
        </w:tc>
        <w:tc>
          <w:tcPr>
            <w:tcW w:w="850" w:type="dxa"/>
            <w:tcBorders>
              <w:top w:val="nil"/>
              <w:left w:val="nil"/>
              <w:bottom w:val="single" w:sz="4" w:space="0" w:color="auto"/>
              <w:right w:val="single" w:sz="8" w:space="0" w:color="auto"/>
            </w:tcBorders>
            <w:shd w:val="clear" w:color="auto" w:fill="auto"/>
            <w:noWrap/>
            <w:vAlign w:val="bottom"/>
            <w:hideMark/>
          </w:tcPr>
          <w:p w14:paraId="32C93440" w14:textId="77777777" w:rsidR="00847E38" w:rsidRPr="00E25F61" w:rsidRDefault="00847E38" w:rsidP="00847E38">
            <w:pPr>
              <w:spacing w:before="0" w:after="0" w:line="240" w:lineRule="auto"/>
              <w:jc w:val="center"/>
              <w:rPr>
                <w:rFonts w:eastAsia="Times New Roman" w:cstheme="minorHAnsi"/>
                <w:lang w:eastAsia="en-GB"/>
              </w:rPr>
            </w:pPr>
            <w:r w:rsidRPr="00E25F61">
              <w:rPr>
                <w:rFonts w:eastAsia="Times New Roman" w:cstheme="minorHAnsi"/>
                <w:lang w:eastAsia="en-GB"/>
              </w:rPr>
              <w:t>1.1%</w:t>
            </w:r>
          </w:p>
        </w:tc>
      </w:tr>
      <w:tr w:rsidR="00847E38" w:rsidRPr="00DA15E9" w14:paraId="3B3B3788" w14:textId="77777777" w:rsidTr="00847E38">
        <w:trPr>
          <w:trHeight w:val="255"/>
        </w:trPr>
        <w:tc>
          <w:tcPr>
            <w:tcW w:w="1005" w:type="dxa"/>
            <w:tcBorders>
              <w:top w:val="nil"/>
              <w:left w:val="single" w:sz="8" w:space="0" w:color="auto"/>
              <w:bottom w:val="single" w:sz="4" w:space="0" w:color="auto"/>
              <w:right w:val="single" w:sz="4" w:space="0" w:color="auto"/>
            </w:tcBorders>
            <w:shd w:val="clear" w:color="auto" w:fill="auto"/>
            <w:noWrap/>
            <w:vAlign w:val="bottom"/>
            <w:hideMark/>
          </w:tcPr>
          <w:p w14:paraId="79DD58C1" w14:textId="77777777" w:rsidR="00847E38" w:rsidRPr="00E25F61" w:rsidRDefault="00847E38" w:rsidP="00847E38">
            <w:pPr>
              <w:spacing w:before="0" w:after="0" w:line="240" w:lineRule="auto"/>
              <w:jc w:val="center"/>
              <w:rPr>
                <w:rFonts w:eastAsia="Times New Roman" w:cstheme="minorHAnsi"/>
                <w:lang w:eastAsia="en-GB"/>
              </w:rPr>
            </w:pPr>
            <w:r w:rsidRPr="00E25F61">
              <w:rPr>
                <w:rFonts w:eastAsia="Times New Roman" w:cstheme="minorHAnsi"/>
                <w:lang w:eastAsia="en-GB"/>
              </w:rPr>
              <w:t>7</w:t>
            </w:r>
          </w:p>
        </w:tc>
        <w:tc>
          <w:tcPr>
            <w:tcW w:w="1797" w:type="dxa"/>
            <w:tcBorders>
              <w:top w:val="nil"/>
              <w:left w:val="nil"/>
              <w:bottom w:val="single" w:sz="4" w:space="0" w:color="auto"/>
              <w:right w:val="single" w:sz="4" w:space="0" w:color="auto"/>
            </w:tcBorders>
            <w:shd w:val="clear" w:color="auto" w:fill="auto"/>
            <w:noWrap/>
            <w:vAlign w:val="bottom"/>
            <w:hideMark/>
          </w:tcPr>
          <w:p w14:paraId="3BA2E2D1" w14:textId="77777777" w:rsidR="00847E38" w:rsidRPr="00E25F61" w:rsidRDefault="00847E38" w:rsidP="00847E38">
            <w:pPr>
              <w:spacing w:before="0" w:after="0" w:line="240" w:lineRule="auto"/>
              <w:rPr>
                <w:rFonts w:eastAsia="Times New Roman" w:cstheme="minorHAnsi"/>
                <w:lang w:eastAsia="en-GB"/>
              </w:rPr>
            </w:pPr>
            <w:r w:rsidRPr="00E25F61">
              <w:rPr>
                <w:rFonts w:eastAsia="Times New Roman" w:cstheme="minorHAnsi"/>
                <w:lang w:eastAsia="en-GB"/>
              </w:rPr>
              <w:t>Midlothian</w:t>
            </w:r>
          </w:p>
        </w:tc>
        <w:tc>
          <w:tcPr>
            <w:tcW w:w="850" w:type="dxa"/>
            <w:tcBorders>
              <w:top w:val="nil"/>
              <w:left w:val="nil"/>
              <w:bottom w:val="single" w:sz="4" w:space="0" w:color="auto"/>
              <w:right w:val="single" w:sz="8" w:space="0" w:color="auto"/>
            </w:tcBorders>
            <w:shd w:val="clear" w:color="auto" w:fill="auto"/>
            <w:noWrap/>
            <w:vAlign w:val="bottom"/>
            <w:hideMark/>
          </w:tcPr>
          <w:p w14:paraId="72E44BC2" w14:textId="77777777" w:rsidR="00847E38" w:rsidRPr="00E25F61" w:rsidRDefault="00847E38" w:rsidP="00847E38">
            <w:pPr>
              <w:spacing w:before="0" w:after="0" w:line="240" w:lineRule="auto"/>
              <w:jc w:val="center"/>
              <w:rPr>
                <w:rFonts w:eastAsia="Times New Roman" w:cstheme="minorHAnsi"/>
                <w:lang w:eastAsia="en-GB"/>
              </w:rPr>
            </w:pPr>
            <w:r w:rsidRPr="00E25F61">
              <w:rPr>
                <w:rFonts w:eastAsia="Times New Roman" w:cstheme="minorHAnsi"/>
                <w:lang w:eastAsia="en-GB"/>
              </w:rPr>
              <w:t>0.9%</w:t>
            </w:r>
          </w:p>
        </w:tc>
      </w:tr>
      <w:tr w:rsidR="00847E38" w:rsidRPr="00DA15E9" w14:paraId="33B20461" w14:textId="77777777" w:rsidTr="00847E38">
        <w:trPr>
          <w:trHeight w:val="263"/>
        </w:trPr>
        <w:tc>
          <w:tcPr>
            <w:tcW w:w="1005" w:type="dxa"/>
            <w:tcBorders>
              <w:top w:val="nil"/>
              <w:left w:val="single" w:sz="8" w:space="0" w:color="auto"/>
              <w:bottom w:val="single" w:sz="8" w:space="0" w:color="auto"/>
              <w:right w:val="single" w:sz="4" w:space="0" w:color="auto"/>
            </w:tcBorders>
            <w:shd w:val="clear" w:color="auto" w:fill="auto"/>
            <w:noWrap/>
            <w:vAlign w:val="bottom"/>
            <w:hideMark/>
          </w:tcPr>
          <w:p w14:paraId="69CE1F2A" w14:textId="77777777" w:rsidR="00847E38" w:rsidRPr="00E25F61" w:rsidRDefault="00847E38" w:rsidP="00847E38">
            <w:pPr>
              <w:spacing w:before="0" w:after="0" w:line="240" w:lineRule="auto"/>
              <w:jc w:val="center"/>
              <w:rPr>
                <w:rFonts w:eastAsia="Times New Roman" w:cstheme="minorHAnsi"/>
                <w:lang w:eastAsia="en-GB"/>
              </w:rPr>
            </w:pPr>
            <w:r w:rsidRPr="00E25F61">
              <w:rPr>
                <w:rFonts w:eastAsia="Times New Roman" w:cstheme="minorHAnsi"/>
                <w:lang w:eastAsia="en-GB"/>
              </w:rPr>
              <w:t>8</w:t>
            </w:r>
          </w:p>
        </w:tc>
        <w:tc>
          <w:tcPr>
            <w:tcW w:w="1797" w:type="dxa"/>
            <w:tcBorders>
              <w:top w:val="nil"/>
              <w:left w:val="nil"/>
              <w:bottom w:val="single" w:sz="8" w:space="0" w:color="auto"/>
              <w:right w:val="single" w:sz="4" w:space="0" w:color="auto"/>
            </w:tcBorders>
            <w:shd w:val="clear" w:color="auto" w:fill="auto"/>
            <w:noWrap/>
            <w:vAlign w:val="bottom"/>
            <w:hideMark/>
          </w:tcPr>
          <w:p w14:paraId="238E8865" w14:textId="77777777" w:rsidR="00847E38" w:rsidRPr="00E25F61" w:rsidRDefault="00847E38" w:rsidP="00847E38">
            <w:pPr>
              <w:spacing w:before="0" w:after="0" w:line="240" w:lineRule="auto"/>
              <w:rPr>
                <w:rFonts w:eastAsia="Times New Roman" w:cstheme="minorHAnsi"/>
                <w:lang w:eastAsia="en-GB"/>
              </w:rPr>
            </w:pPr>
            <w:r w:rsidRPr="00E25F61">
              <w:rPr>
                <w:rFonts w:eastAsia="Times New Roman" w:cstheme="minorHAnsi"/>
                <w:lang w:eastAsia="en-GB"/>
              </w:rPr>
              <w:t>East Lothian</w:t>
            </w:r>
          </w:p>
        </w:tc>
        <w:tc>
          <w:tcPr>
            <w:tcW w:w="850" w:type="dxa"/>
            <w:tcBorders>
              <w:top w:val="nil"/>
              <w:left w:val="nil"/>
              <w:bottom w:val="single" w:sz="8" w:space="0" w:color="auto"/>
              <w:right w:val="single" w:sz="8" w:space="0" w:color="auto"/>
            </w:tcBorders>
            <w:shd w:val="clear" w:color="auto" w:fill="auto"/>
            <w:noWrap/>
            <w:vAlign w:val="bottom"/>
            <w:hideMark/>
          </w:tcPr>
          <w:p w14:paraId="2E134104" w14:textId="77777777" w:rsidR="00847E38" w:rsidRPr="00E25F61" w:rsidRDefault="00847E38" w:rsidP="00847E38">
            <w:pPr>
              <w:spacing w:before="0" w:after="0" w:line="240" w:lineRule="auto"/>
              <w:jc w:val="center"/>
              <w:rPr>
                <w:rFonts w:eastAsia="Times New Roman" w:cstheme="minorHAnsi"/>
                <w:lang w:eastAsia="en-GB"/>
              </w:rPr>
            </w:pPr>
            <w:r w:rsidRPr="00E25F61">
              <w:rPr>
                <w:rFonts w:eastAsia="Times New Roman" w:cstheme="minorHAnsi"/>
                <w:lang w:eastAsia="en-GB"/>
              </w:rPr>
              <w:t>-0.8%</w:t>
            </w:r>
          </w:p>
        </w:tc>
      </w:tr>
    </w:tbl>
    <w:p w14:paraId="74AC1E5D" w14:textId="76C7A3CF" w:rsidR="00CE55AF" w:rsidRDefault="00B46029" w:rsidP="00764C67">
      <w:pPr>
        <w:spacing w:before="0" w:after="0"/>
      </w:pPr>
      <w:r>
        <w:rPr>
          <w:noProof/>
        </w:rPr>
        <w:drawing>
          <wp:anchor distT="0" distB="0" distL="114300" distR="114300" simplePos="0" relativeHeight="251670016" behindDoc="0" locked="0" layoutInCell="1" allowOverlap="1" wp14:anchorId="543FAA6D" wp14:editId="64066535">
            <wp:simplePos x="0" y="0"/>
            <wp:positionH relativeFrom="column">
              <wp:posOffset>2540</wp:posOffset>
            </wp:positionH>
            <wp:positionV relativeFrom="paragraph">
              <wp:posOffset>17529</wp:posOffset>
            </wp:positionV>
            <wp:extent cx="3690744" cy="3160759"/>
            <wp:effectExtent l="0" t="0" r="5080" b="1905"/>
            <wp:wrapNone/>
            <wp:docPr id="873976602" name="Picture 7" descr="A map of the united kingd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976602" name="Picture 7" descr="A map of the united kingdo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690744" cy="3160759"/>
                    </a:xfrm>
                    <a:prstGeom prst="rect">
                      <a:avLst/>
                    </a:prstGeom>
                  </pic:spPr>
                </pic:pic>
              </a:graphicData>
            </a:graphic>
            <wp14:sizeRelH relativeFrom="page">
              <wp14:pctWidth>0</wp14:pctWidth>
            </wp14:sizeRelH>
            <wp14:sizeRelV relativeFrom="page">
              <wp14:pctHeight>0</wp14:pctHeight>
            </wp14:sizeRelV>
          </wp:anchor>
        </w:drawing>
      </w:r>
    </w:p>
    <w:p w14:paraId="0ABC7A50" w14:textId="728D7AD6" w:rsidR="00A2425F" w:rsidRDefault="00A2425F" w:rsidP="00A2425F"/>
    <w:p w14:paraId="6A975229" w14:textId="3D28C8BF" w:rsidR="00E510FD" w:rsidRPr="00E510FD" w:rsidRDefault="00E510FD" w:rsidP="00E510FD"/>
    <w:p w14:paraId="03E3F226" w14:textId="47613651" w:rsidR="00847E38" w:rsidRDefault="00847E38">
      <w:pPr>
        <w:rPr>
          <w:caps/>
          <w:spacing w:val="15"/>
        </w:rPr>
      </w:pPr>
      <w:r>
        <w:br w:type="page"/>
      </w:r>
    </w:p>
    <w:p w14:paraId="27E9F108" w14:textId="4F5ED37B" w:rsidR="00A2425F" w:rsidRDefault="002618D6" w:rsidP="00A2425F">
      <w:pPr>
        <w:pStyle w:val="Heading2"/>
      </w:pPr>
      <w:r>
        <w:lastRenderedPageBreak/>
        <w:t xml:space="preserve">Figures </w:t>
      </w:r>
      <w:r w:rsidR="00764C67">
        <w:t>5 &amp; 6</w:t>
      </w:r>
      <w:r w:rsidR="00A2425F">
        <w:t>: how does compare with all scottish local authorities</w:t>
      </w:r>
    </w:p>
    <w:p w14:paraId="5E376DA1" w14:textId="17B9B38D" w:rsidR="00A2425F" w:rsidRDefault="00CE55AF" w:rsidP="00A2425F">
      <w:r>
        <w:t>Poverty in Scotland varies significantly</w:t>
      </w:r>
      <w:r w:rsidR="00865E14">
        <w:t>, comparator authorities are highlighted in blue within the supporting table</w:t>
      </w:r>
      <w:r>
        <w:t xml:space="preserve">. One in three children in Glasgow city are in poverty compared with one in seven in East Renfrewshire, yet the two authorities share a border. </w:t>
      </w:r>
      <w:r w:rsidR="000C110E">
        <w:t>Moray, in 2021/22 is placed as having the 14</w:t>
      </w:r>
      <w:r w:rsidR="000C110E" w:rsidRPr="000C110E">
        <w:rPr>
          <w:vertAlign w:val="superscript"/>
        </w:rPr>
        <w:t>th</w:t>
      </w:r>
      <w:r w:rsidR="000C110E">
        <w:t xml:space="preserve"> highest levels of child poverty of Scotland’s 32 Local Authorities, this is in stark contrast to being placed 20</w:t>
      </w:r>
      <w:r w:rsidR="000C110E" w:rsidRPr="000C110E">
        <w:rPr>
          <w:vertAlign w:val="superscript"/>
        </w:rPr>
        <w:t>th</w:t>
      </w:r>
      <w:r w:rsidR="000C110E">
        <w:t xml:space="preserve"> in 2014/15. From having a rate 0.8% less than Scotland in 2014/15 the difference has narrowed to 0.4% 2021/22.</w:t>
      </w:r>
      <w:r w:rsidR="001D7229">
        <w:t xml:space="preserve"> SIMD2020 data shows that in Moray 7.8% of the 0-15 population live in the 30% most deprived areas of Scotland</w:t>
      </w:r>
      <w:r w:rsidR="00BB0A4A">
        <w:t>, n</w:t>
      </w:r>
      <w:r w:rsidR="001D7229">
        <w:t>ationally the figure is 26%</w:t>
      </w:r>
      <w:r w:rsidR="00EA7473">
        <w:t>.</w:t>
      </w:r>
    </w:p>
    <w:p w14:paraId="2B265174" w14:textId="4A8D99A1" w:rsidR="00EB5973" w:rsidRDefault="001F75B1" w:rsidP="00EB5973">
      <w:pPr>
        <w:pStyle w:val="Caption"/>
        <w:keepNext/>
        <w:spacing w:after="0"/>
      </w:pPr>
      <w:r>
        <w:t xml:space="preserve">Figure </w:t>
      </w:r>
      <w:r w:rsidR="00764C67">
        <w:t>5</w:t>
      </w:r>
      <w:r w:rsidR="00EB5973">
        <w:t xml:space="preserve"> - Moray vs All Scottish Local Authorities (% Poverty)</w:t>
      </w:r>
    </w:p>
    <w:tbl>
      <w:tblPr>
        <w:tblpPr w:leftFromText="180" w:rightFromText="180" w:vertAnchor="text" w:horzAnchor="page" w:tblpX="7269" w:tblpY="105"/>
        <w:tblW w:w="4077" w:type="dxa"/>
        <w:tblLook w:val="04A0" w:firstRow="1" w:lastRow="0" w:firstColumn="1" w:lastColumn="0" w:noHBand="0" w:noVBand="1"/>
      </w:tblPr>
      <w:tblGrid>
        <w:gridCol w:w="882"/>
        <w:gridCol w:w="2203"/>
        <w:gridCol w:w="992"/>
      </w:tblGrid>
      <w:tr w:rsidR="00FD53BB" w:rsidRPr="00061823" w14:paraId="6DAAFA63" w14:textId="77777777" w:rsidTr="00FD53BB">
        <w:trPr>
          <w:trHeight w:val="263"/>
        </w:trPr>
        <w:tc>
          <w:tcPr>
            <w:tcW w:w="882" w:type="dxa"/>
            <w:tcBorders>
              <w:top w:val="single" w:sz="8" w:space="0" w:color="auto"/>
              <w:left w:val="single" w:sz="8" w:space="0" w:color="auto"/>
              <w:bottom w:val="single" w:sz="4" w:space="0" w:color="auto"/>
              <w:right w:val="single" w:sz="4" w:space="0" w:color="auto"/>
            </w:tcBorders>
            <w:shd w:val="clear" w:color="000000" w:fill="000000"/>
            <w:noWrap/>
            <w:vAlign w:val="bottom"/>
            <w:hideMark/>
          </w:tcPr>
          <w:p w14:paraId="3F30461A" w14:textId="77777777" w:rsidR="00FD53BB" w:rsidRPr="00E25F61" w:rsidRDefault="00FD53BB" w:rsidP="00FD53BB">
            <w:pPr>
              <w:spacing w:before="0" w:after="0" w:line="240" w:lineRule="auto"/>
              <w:jc w:val="center"/>
              <w:rPr>
                <w:rFonts w:eastAsia="Times New Roman" w:cstheme="minorHAnsi"/>
                <w:b/>
                <w:bCs/>
                <w:color w:val="FFFFFF"/>
                <w:lang w:eastAsia="en-GB"/>
              </w:rPr>
            </w:pPr>
            <w:r w:rsidRPr="00E25F61">
              <w:rPr>
                <w:rFonts w:eastAsia="Times New Roman" w:cstheme="minorHAnsi"/>
                <w:b/>
                <w:bCs/>
                <w:color w:val="FFFFFF"/>
                <w:lang w:eastAsia="en-GB"/>
              </w:rPr>
              <w:t>Ranking</w:t>
            </w:r>
          </w:p>
        </w:tc>
        <w:tc>
          <w:tcPr>
            <w:tcW w:w="2203" w:type="dxa"/>
            <w:tcBorders>
              <w:top w:val="single" w:sz="8" w:space="0" w:color="auto"/>
              <w:left w:val="nil"/>
              <w:bottom w:val="single" w:sz="4" w:space="0" w:color="auto"/>
              <w:right w:val="single" w:sz="4" w:space="0" w:color="auto"/>
            </w:tcBorders>
            <w:shd w:val="clear" w:color="000000" w:fill="000000"/>
            <w:noWrap/>
            <w:vAlign w:val="bottom"/>
            <w:hideMark/>
          </w:tcPr>
          <w:p w14:paraId="39FE27AA" w14:textId="77777777" w:rsidR="00FD53BB" w:rsidRPr="00E25F61" w:rsidRDefault="00FD53BB" w:rsidP="00FD53BB">
            <w:pPr>
              <w:spacing w:before="0" w:after="0" w:line="240" w:lineRule="auto"/>
              <w:rPr>
                <w:rFonts w:eastAsia="Times New Roman" w:cstheme="minorHAnsi"/>
                <w:b/>
                <w:bCs/>
                <w:color w:val="FFFFFF"/>
                <w:lang w:eastAsia="en-GB"/>
              </w:rPr>
            </w:pPr>
            <w:r w:rsidRPr="00E25F61">
              <w:rPr>
                <w:rFonts w:eastAsia="Times New Roman" w:cstheme="minorHAnsi"/>
                <w:b/>
                <w:bCs/>
                <w:color w:val="FFFFFF"/>
                <w:lang w:eastAsia="en-GB"/>
              </w:rPr>
              <w:t>Scotland</w:t>
            </w:r>
          </w:p>
        </w:tc>
        <w:tc>
          <w:tcPr>
            <w:tcW w:w="992" w:type="dxa"/>
            <w:tcBorders>
              <w:top w:val="single" w:sz="8" w:space="0" w:color="auto"/>
              <w:left w:val="nil"/>
              <w:bottom w:val="single" w:sz="4" w:space="0" w:color="auto"/>
              <w:right w:val="single" w:sz="8" w:space="0" w:color="auto"/>
            </w:tcBorders>
            <w:shd w:val="clear" w:color="000000" w:fill="000000"/>
            <w:noWrap/>
            <w:vAlign w:val="bottom"/>
            <w:hideMark/>
          </w:tcPr>
          <w:p w14:paraId="664484E4" w14:textId="77777777" w:rsidR="00FD53BB" w:rsidRPr="00E25F61" w:rsidRDefault="00FD53BB" w:rsidP="00FD53BB">
            <w:pPr>
              <w:spacing w:before="0" w:after="0" w:line="240" w:lineRule="auto"/>
              <w:jc w:val="center"/>
              <w:rPr>
                <w:rFonts w:eastAsia="Times New Roman" w:cstheme="minorHAnsi"/>
                <w:b/>
                <w:bCs/>
                <w:color w:val="FFFFFF"/>
                <w:lang w:eastAsia="en-GB"/>
              </w:rPr>
            </w:pPr>
            <w:r w:rsidRPr="00E25F61">
              <w:rPr>
                <w:rFonts w:eastAsia="Times New Roman" w:cstheme="minorHAnsi"/>
                <w:b/>
                <w:bCs/>
                <w:color w:val="FFFFFF"/>
                <w:lang w:eastAsia="en-GB"/>
              </w:rPr>
              <w:t>24.5%</w:t>
            </w:r>
          </w:p>
        </w:tc>
      </w:tr>
      <w:tr w:rsidR="00FD53BB" w:rsidRPr="00061823" w14:paraId="6C8FE2AE" w14:textId="77777777" w:rsidTr="00FD53BB">
        <w:trPr>
          <w:trHeight w:val="263"/>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5354A6D1"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1</w:t>
            </w:r>
          </w:p>
        </w:tc>
        <w:tc>
          <w:tcPr>
            <w:tcW w:w="2203" w:type="dxa"/>
            <w:tcBorders>
              <w:top w:val="nil"/>
              <w:left w:val="nil"/>
              <w:bottom w:val="single" w:sz="4" w:space="0" w:color="auto"/>
              <w:right w:val="single" w:sz="4" w:space="0" w:color="auto"/>
            </w:tcBorders>
            <w:shd w:val="clear" w:color="auto" w:fill="auto"/>
            <w:noWrap/>
            <w:vAlign w:val="bottom"/>
            <w:hideMark/>
          </w:tcPr>
          <w:p w14:paraId="71908DB1" w14:textId="77777777" w:rsidR="00FD53BB" w:rsidRPr="00E25F61" w:rsidRDefault="00FD53BB" w:rsidP="00FD53BB">
            <w:pPr>
              <w:spacing w:before="0" w:after="0" w:line="240" w:lineRule="auto"/>
              <w:rPr>
                <w:rFonts w:eastAsia="Times New Roman" w:cstheme="minorHAnsi"/>
                <w:lang w:eastAsia="en-GB"/>
              </w:rPr>
            </w:pPr>
            <w:r w:rsidRPr="00E25F61">
              <w:rPr>
                <w:rFonts w:eastAsia="Times New Roman" w:cstheme="minorHAnsi"/>
                <w:lang w:eastAsia="en-GB"/>
              </w:rPr>
              <w:t>Glasgow City</w:t>
            </w:r>
          </w:p>
        </w:tc>
        <w:tc>
          <w:tcPr>
            <w:tcW w:w="992" w:type="dxa"/>
            <w:tcBorders>
              <w:top w:val="nil"/>
              <w:left w:val="nil"/>
              <w:bottom w:val="single" w:sz="4" w:space="0" w:color="auto"/>
              <w:right w:val="single" w:sz="8" w:space="0" w:color="auto"/>
            </w:tcBorders>
            <w:shd w:val="clear" w:color="auto" w:fill="auto"/>
            <w:noWrap/>
            <w:vAlign w:val="bottom"/>
            <w:hideMark/>
          </w:tcPr>
          <w:p w14:paraId="5198C379"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32.0%</w:t>
            </w:r>
          </w:p>
        </w:tc>
      </w:tr>
      <w:tr w:rsidR="00FD53BB" w:rsidRPr="00061823" w14:paraId="58CEA940" w14:textId="77777777" w:rsidTr="00FD53BB">
        <w:trPr>
          <w:trHeight w:val="263"/>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66F8125D"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w:t>
            </w:r>
          </w:p>
        </w:tc>
        <w:tc>
          <w:tcPr>
            <w:tcW w:w="2203" w:type="dxa"/>
            <w:tcBorders>
              <w:top w:val="nil"/>
              <w:left w:val="nil"/>
              <w:bottom w:val="single" w:sz="4" w:space="0" w:color="auto"/>
              <w:right w:val="single" w:sz="4" w:space="0" w:color="auto"/>
            </w:tcBorders>
            <w:shd w:val="clear" w:color="auto" w:fill="auto"/>
            <w:noWrap/>
            <w:vAlign w:val="bottom"/>
            <w:hideMark/>
          </w:tcPr>
          <w:p w14:paraId="55E55C04" w14:textId="77777777" w:rsidR="00FD53BB" w:rsidRPr="00E25F61" w:rsidRDefault="00FD53BB" w:rsidP="00FD53BB">
            <w:pPr>
              <w:spacing w:before="0" w:after="0" w:line="240" w:lineRule="auto"/>
              <w:rPr>
                <w:rFonts w:eastAsia="Times New Roman" w:cstheme="minorHAnsi"/>
                <w:lang w:eastAsia="en-GB"/>
              </w:rPr>
            </w:pPr>
            <w:r w:rsidRPr="00E25F61">
              <w:rPr>
                <w:rFonts w:eastAsia="Times New Roman" w:cstheme="minorHAnsi"/>
                <w:lang w:eastAsia="en-GB"/>
              </w:rPr>
              <w:t>North Ayrshire</w:t>
            </w:r>
          </w:p>
        </w:tc>
        <w:tc>
          <w:tcPr>
            <w:tcW w:w="992" w:type="dxa"/>
            <w:tcBorders>
              <w:top w:val="nil"/>
              <w:left w:val="nil"/>
              <w:bottom w:val="single" w:sz="4" w:space="0" w:color="auto"/>
              <w:right w:val="single" w:sz="8" w:space="0" w:color="auto"/>
            </w:tcBorders>
            <w:shd w:val="clear" w:color="auto" w:fill="auto"/>
            <w:noWrap/>
            <w:vAlign w:val="bottom"/>
            <w:hideMark/>
          </w:tcPr>
          <w:p w14:paraId="5B07E450"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29.0%</w:t>
            </w:r>
          </w:p>
        </w:tc>
      </w:tr>
      <w:tr w:rsidR="00FD53BB" w:rsidRPr="00061823" w14:paraId="2E5E442C" w14:textId="77777777" w:rsidTr="00FD53BB">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0B3FF470"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3</w:t>
            </w:r>
          </w:p>
        </w:tc>
        <w:tc>
          <w:tcPr>
            <w:tcW w:w="2203" w:type="dxa"/>
            <w:tcBorders>
              <w:top w:val="nil"/>
              <w:left w:val="nil"/>
              <w:bottom w:val="single" w:sz="4" w:space="0" w:color="auto"/>
              <w:right w:val="single" w:sz="4" w:space="0" w:color="auto"/>
            </w:tcBorders>
            <w:shd w:val="clear" w:color="auto" w:fill="auto"/>
            <w:noWrap/>
            <w:vAlign w:val="bottom"/>
            <w:hideMark/>
          </w:tcPr>
          <w:p w14:paraId="2F912DA7" w14:textId="77777777" w:rsidR="00FD53BB" w:rsidRPr="00E25F61" w:rsidRDefault="00FD53BB" w:rsidP="00FD53BB">
            <w:pPr>
              <w:spacing w:before="0" w:after="0" w:line="240" w:lineRule="auto"/>
              <w:rPr>
                <w:rFonts w:eastAsia="Times New Roman" w:cstheme="minorHAnsi"/>
                <w:lang w:eastAsia="en-GB"/>
              </w:rPr>
            </w:pPr>
            <w:r w:rsidRPr="00E25F61">
              <w:rPr>
                <w:rFonts w:eastAsia="Times New Roman" w:cstheme="minorHAnsi"/>
                <w:lang w:eastAsia="en-GB"/>
              </w:rPr>
              <w:t>Clackmannanshire</w:t>
            </w:r>
          </w:p>
        </w:tc>
        <w:tc>
          <w:tcPr>
            <w:tcW w:w="992" w:type="dxa"/>
            <w:tcBorders>
              <w:top w:val="nil"/>
              <w:left w:val="nil"/>
              <w:bottom w:val="single" w:sz="4" w:space="0" w:color="auto"/>
              <w:right w:val="single" w:sz="8" w:space="0" w:color="auto"/>
            </w:tcBorders>
            <w:shd w:val="clear" w:color="auto" w:fill="auto"/>
            <w:noWrap/>
            <w:vAlign w:val="bottom"/>
            <w:hideMark/>
          </w:tcPr>
          <w:p w14:paraId="6F9125A6"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28.3%</w:t>
            </w:r>
          </w:p>
        </w:tc>
      </w:tr>
      <w:tr w:rsidR="00FD53BB" w:rsidRPr="00061823" w14:paraId="76D6B859" w14:textId="77777777" w:rsidTr="00FD53BB">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716A10FE"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4</w:t>
            </w:r>
          </w:p>
        </w:tc>
        <w:tc>
          <w:tcPr>
            <w:tcW w:w="2203" w:type="dxa"/>
            <w:tcBorders>
              <w:top w:val="nil"/>
              <w:left w:val="nil"/>
              <w:bottom w:val="single" w:sz="4" w:space="0" w:color="auto"/>
              <w:right w:val="single" w:sz="4" w:space="0" w:color="auto"/>
            </w:tcBorders>
            <w:shd w:val="clear" w:color="auto" w:fill="auto"/>
            <w:noWrap/>
            <w:vAlign w:val="bottom"/>
            <w:hideMark/>
          </w:tcPr>
          <w:p w14:paraId="0D1AC548" w14:textId="77777777" w:rsidR="00FD53BB" w:rsidRPr="00E25F61" w:rsidRDefault="00FD53BB" w:rsidP="00FD53BB">
            <w:pPr>
              <w:spacing w:before="0" w:after="0" w:line="240" w:lineRule="auto"/>
              <w:rPr>
                <w:rFonts w:eastAsia="Times New Roman" w:cstheme="minorHAnsi"/>
                <w:lang w:eastAsia="en-GB"/>
              </w:rPr>
            </w:pPr>
            <w:r w:rsidRPr="00E25F61">
              <w:rPr>
                <w:rFonts w:eastAsia="Times New Roman" w:cstheme="minorHAnsi"/>
                <w:lang w:eastAsia="en-GB"/>
              </w:rPr>
              <w:t>West Dunbartonshire</w:t>
            </w:r>
          </w:p>
        </w:tc>
        <w:tc>
          <w:tcPr>
            <w:tcW w:w="992" w:type="dxa"/>
            <w:tcBorders>
              <w:top w:val="nil"/>
              <w:left w:val="nil"/>
              <w:bottom w:val="single" w:sz="4" w:space="0" w:color="auto"/>
              <w:right w:val="single" w:sz="8" w:space="0" w:color="auto"/>
            </w:tcBorders>
            <w:shd w:val="clear" w:color="auto" w:fill="auto"/>
            <w:noWrap/>
            <w:vAlign w:val="bottom"/>
            <w:hideMark/>
          </w:tcPr>
          <w:p w14:paraId="570F08F0"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27.6%</w:t>
            </w:r>
          </w:p>
        </w:tc>
      </w:tr>
      <w:tr w:rsidR="00FD53BB" w:rsidRPr="00061823" w14:paraId="091205FC" w14:textId="77777777" w:rsidTr="00FD53BB">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266B3461"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5</w:t>
            </w:r>
          </w:p>
        </w:tc>
        <w:tc>
          <w:tcPr>
            <w:tcW w:w="2203" w:type="dxa"/>
            <w:tcBorders>
              <w:top w:val="nil"/>
              <w:left w:val="nil"/>
              <w:bottom w:val="single" w:sz="4" w:space="0" w:color="auto"/>
              <w:right w:val="single" w:sz="4" w:space="0" w:color="auto"/>
            </w:tcBorders>
            <w:shd w:val="clear" w:color="auto" w:fill="auto"/>
            <w:noWrap/>
            <w:vAlign w:val="bottom"/>
            <w:hideMark/>
          </w:tcPr>
          <w:p w14:paraId="79C5456D" w14:textId="77777777" w:rsidR="00FD53BB" w:rsidRPr="00E25F61" w:rsidRDefault="00FD53BB" w:rsidP="00FD53BB">
            <w:pPr>
              <w:spacing w:before="0" w:after="0" w:line="240" w:lineRule="auto"/>
              <w:rPr>
                <w:rFonts w:eastAsia="Times New Roman" w:cstheme="minorHAnsi"/>
                <w:lang w:eastAsia="en-GB"/>
              </w:rPr>
            </w:pPr>
            <w:r w:rsidRPr="00E25F61">
              <w:rPr>
                <w:rFonts w:eastAsia="Times New Roman" w:cstheme="minorHAnsi"/>
                <w:lang w:eastAsia="en-GB"/>
              </w:rPr>
              <w:t>East Ayrshire</w:t>
            </w:r>
          </w:p>
        </w:tc>
        <w:tc>
          <w:tcPr>
            <w:tcW w:w="992" w:type="dxa"/>
            <w:tcBorders>
              <w:top w:val="nil"/>
              <w:left w:val="nil"/>
              <w:bottom w:val="single" w:sz="4" w:space="0" w:color="auto"/>
              <w:right w:val="single" w:sz="8" w:space="0" w:color="auto"/>
            </w:tcBorders>
            <w:shd w:val="clear" w:color="auto" w:fill="auto"/>
            <w:noWrap/>
            <w:vAlign w:val="bottom"/>
            <w:hideMark/>
          </w:tcPr>
          <w:p w14:paraId="20055EC9"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27.2%</w:t>
            </w:r>
          </w:p>
        </w:tc>
      </w:tr>
      <w:tr w:rsidR="00FD53BB" w:rsidRPr="00061823" w14:paraId="2372B5CD" w14:textId="77777777" w:rsidTr="00FD53BB">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137C5A88"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6</w:t>
            </w:r>
          </w:p>
        </w:tc>
        <w:tc>
          <w:tcPr>
            <w:tcW w:w="2203" w:type="dxa"/>
            <w:tcBorders>
              <w:top w:val="nil"/>
              <w:left w:val="nil"/>
              <w:bottom w:val="single" w:sz="4" w:space="0" w:color="auto"/>
              <w:right w:val="single" w:sz="4" w:space="0" w:color="auto"/>
            </w:tcBorders>
            <w:shd w:val="clear" w:color="auto" w:fill="auto"/>
            <w:noWrap/>
            <w:vAlign w:val="bottom"/>
            <w:hideMark/>
          </w:tcPr>
          <w:p w14:paraId="24A9DFE9" w14:textId="77777777" w:rsidR="00FD53BB" w:rsidRPr="00E25F61" w:rsidRDefault="00FD53BB" w:rsidP="00FD53BB">
            <w:pPr>
              <w:spacing w:before="0" w:after="0" w:line="240" w:lineRule="auto"/>
              <w:rPr>
                <w:rFonts w:eastAsia="Times New Roman" w:cstheme="minorHAnsi"/>
                <w:lang w:eastAsia="en-GB"/>
              </w:rPr>
            </w:pPr>
            <w:r w:rsidRPr="00E25F61">
              <w:rPr>
                <w:rFonts w:eastAsia="Times New Roman" w:cstheme="minorHAnsi"/>
                <w:lang w:eastAsia="en-GB"/>
              </w:rPr>
              <w:t>Dundee City</w:t>
            </w:r>
          </w:p>
        </w:tc>
        <w:tc>
          <w:tcPr>
            <w:tcW w:w="992" w:type="dxa"/>
            <w:tcBorders>
              <w:top w:val="nil"/>
              <w:left w:val="nil"/>
              <w:bottom w:val="single" w:sz="4" w:space="0" w:color="auto"/>
              <w:right w:val="single" w:sz="8" w:space="0" w:color="auto"/>
            </w:tcBorders>
            <w:shd w:val="clear" w:color="auto" w:fill="auto"/>
            <w:noWrap/>
            <w:vAlign w:val="bottom"/>
            <w:hideMark/>
          </w:tcPr>
          <w:p w14:paraId="23FFB295"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27.1%</w:t>
            </w:r>
          </w:p>
        </w:tc>
      </w:tr>
      <w:tr w:rsidR="00FD53BB" w:rsidRPr="00061823" w14:paraId="327BDEE7" w14:textId="77777777" w:rsidTr="00FD53BB">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02B551BE"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7</w:t>
            </w:r>
          </w:p>
        </w:tc>
        <w:tc>
          <w:tcPr>
            <w:tcW w:w="2203" w:type="dxa"/>
            <w:tcBorders>
              <w:top w:val="nil"/>
              <w:left w:val="nil"/>
              <w:bottom w:val="single" w:sz="4" w:space="0" w:color="auto"/>
              <w:right w:val="single" w:sz="4" w:space="0" w:color="auto"/>
            </w:tcBorders>
            <w:shd w:val="clear" w:color="auto" w:fill="auto"/>
            <w:noWrap/>
            <w:vAlign w:val="bottom"/>
            <w:hideMark/>
          </w:tcPr>
          <w:p w14:paraId="010D9874" w14:textId="77777777" w:rsidR="00FD53BB" w:rsidRPr="00E25F61" w:rsidRDefault="00FD53BB" w:rsidP="00FD53BB">
            <w:pPr>
              <w:spacing w:before="0" w:after="0" w:line="240" w:lineRule="auto"/>
              <w:rPr>
                <w:rFonts w:eastAsia="Times New Roman" w:cstheme="minorHAnsi"/>
                <w:lang w:eastAsia="en-GB"/>
              </w:rPr>
            </w:pPr>
            <w:r w:rsidRPr="00E25F61">
              <w:rPr>
                <w:rFonts w:eastAsia="Times New Roman" w:cstheme="minorHAnsi"/>
                <w:lang w:eastAsia="en-GB"/>
              </w:rPr>
              <w:t>North Lanarkshire</w:t>
            </w:r>
          </w:p>
        </w:tc>
        <w:tc>
          <w:tcPr>
            <w:tcW w:w="992" w:type="dxa"/>
            <w:tcBorders>
              <w:top w:val="nil"/>
              <w:left w:val="nil"/>
              <w:bottom w:val="single" w:sz="4" w:space="0" w:color="auto"/>
              <w:right w:val="single" w:sz="8" w:space="0" w:color="auto"/>
            </w:tcBorders>
            <w:shd w:val="clear" w:color="auto" w:fill="auto"/>
            <w:noWrap/>
            <w:vAlign w:val="bottom"/>
            <w:hideMark/>
          </w:tcPr>
          <w:p w14:paraId="019E56FD"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26.6%</w:t>
            </w:r>
          </w:p>
        </w:tc>
      </w:tr>
      <w:tr w:rsidR="00FD53BB" w:rsidRPr="00061823" w14:paraId="633904C3" w14:textId="77777777" w:rsidTr="00FD53BB">
        <w:trPr>
          <w:trHeight w:val="270"/>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55231712"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8</w:t>
            </w:r>
          </w:p>
        </w:tc>
        <w:tc>
          <w:tcPr>
            <w:tcW w:w="2203" w:type="dxa"/>
            <w:tcBorders>
              <w:top w:val="nil"/>
              <w:left w:val="nil"/>
              <w:bottom w:val="single" w:sz="4" w:space="0" w:color="auto"/>
              <w:right w:val="single" w:sz="4" w:space="0" w:color="auto"/>
            </w:tcBorders>
            <w:shd w:val="clear" w:color="auto" w:fill="auto"/>
            <w:noWrap/>
            <w:vAlign w:val="bottom"/>
            <w:hideMark/>
          </w:tcPr>
          <w:p w14:paraId="3E38E0B6" w14:textId="77777777" w:rsidR="00FD53BB" w:rsidRPr="00E25F61" w:rsidRDefault="00FD53BB" w:rsidP="00FD53BB">
            <w:pPr>
              <w:spacing w:before="0" w:after="0" w:line="240" w:lineRule="auto"/>
              <w:rPr>
                <w:rFonts w:eastAsia="Times New Roman" w:cstheme="minorHAnsi"/>
                <w:lang w:eastAsia="en-GB"/>
              </w:rPr>
            </w:pPr>
            <w:r w:rsidRPr="00E25F61">
              <w:rPr>
                <w:rFonts w:eastAsia="Times New Roman" w:cstheme="minorHAnsi"/>
                <w:lang w:eastAsia="en-GB"/>
              </w:rPr>
              <w:t>Fife</w:t>
            </w:r>
          </w:p>
        </w:tc>
        <w:tc>
          <w:tcPr>
            <w:tcW w:w="992" w:type="dxa"/>
            <w:tcBorders>
              <w:top w:val="nil"/>
              <w:left w:val="nil"/>
              <w:bottom w:val="single" w:sz="4" w:space="0" w:color="auto"/>
              <w:right w:val="single" w:sz="8" w:space="0" w:color="auto"/>
            </w:tcBorders>
            <w:shd w:val="clear" w:color="auto" w:fill="auto"/>
            <w:noWrap/>
            <w:vAlign w:val="bottom"/>
            <w:hideMark/>
          </w:tcPr>
          <w:p w14:paraId="2711716C"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26.1%</w:t>
            </w:r>
          </w:p>
        </w:tc>
      </w:tr>
      <w:tr w:rsidR="00FD53BB" w:rsidRPr="00061823" w14:paraId="328EA2F9" w14:textId="77777777" w:rsidTr="00FD53BB">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1D78A673"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9</w:t>
            </w:r>
          </w:p>
        </w:tc>
        <w:tc>
          <w:tcPr>
            <w:tcW w:w="2203" w:type="dxa"/>
            <w:tcBorders>
              <w:top w:val="nil"/>
              <w:left w:val="nil"/>
              <w:bottom w:val="single" w:sz="4" w:space="0" w:color="auto"/>
              <w:right w:val="single" w:sz="4" w:space="0" w:color="auto"/>
            </w:tcBorders>
            <w:shd w:val="clear" w:color="auto" w:fill="auto"/>
            <w:noWrap/>
            <w:vAlign w:val="bottom"/>
            <w:hideMark/>
          </w:tcPr>
          <w:p w14:paraId="38965C0D" w14:textId="77777777" w:rsidR="00FD53BB" w:rsidRPr="00E25F61" w:rsidRDefault="00FD53BB" w:rsidP="00FD53BB">
            <w:pPr>
              <w:spacing w:before="0" w:after="0" w:line="240" w:lineRule="auto"/>
              <w:rPr>
                <w:rFonts w:eastAsia="Times New Roman" w:cstheme="minorHAnsi"/>
                <w:lang w:eastAsia="en-GB"/>
              </w:rPr>
            </w:pPr>
            <w:r w:rsidRPr="00E25F61">
              <w:rPr>
                <w:rFonts w:eastAsia="Times New Roman" w:cstheme="minorHAnsi"/>
                <w:lang w:eastAsia="en-GB"/>
              </w:rPr>
              <w:t>Dumfries and Galloway</w:t>
            </w:r>
          </w:p>
        </w:tc>
        <w:tc>
          <w:tcPr>
            <w:tcW w:w="992" w:type="dxa"/>
            <w:tcBorders>
              <w:top w:val="nil"/>
              <w:left w:val="nil"/>
              <w:bottom w:val="single" w:sz="4" w:space="0" w:color="auto"/>
              <w:right w:val="single" w:sz="8" w:space="0" w:color="auto"/>
            </w:tcBorders>
            <w:shd w:val="clear" w:color="auto" w:fill="auto"/>
            <w:noWrap/>
            <w:vAlign w:val="bottom"/>
            <w:hideMark/>
          </w:tcPr>
          <w:p w14:paraId="7B562321"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26.0%</w:t>
            </w:r>
          </w:p>
        </w:tc>
      </w:tr>
      <w:tr w:rsidR="00FD53BB" w:rsidRPr="00061823" w14:paraId="7D595312" w14:textId="77777777" w:rsidTr="00FD53BB">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250EF935"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10</w:t>
            </w:r>
          </w:p>
        </w:tc>
        <w:tc>
          <w:tcPr>
            <w:tcW w:w="2203" w:type="dxa"/>
            <w:tcBorders>
              <w:top w:val="nil"/>
              <w:left w:val="nil"/>
              <w:bottom w:val="single" w:sz="4" w:space="0" w:color="auto"/>
              <w:right w:val="single" w:sz="4" w:space="0" w:color="auto"/>
            </w:tcBorders>
            <w:shd w:val="clear" w:color="auto" w:fill="auto"/>
            <w:noWrap/>
            <w:vAlign w:val="bottom"/>
            <w:hideMark/>
          </w:tcPr>
          <w:p w14:paraId="4A7B3C6C" w14:textId="77777777" w:rsidR="00FD53BB" w:rsidRPr="00E25F61" w:rsidRDefault="00FD53BB" w:rsidP="00FD53BB">
            <w:pPr>
              <w:spacing w:before="0" w:after="0" w:line="240" w:lineRule="auto"/>
              <w:rPr>
                <w:rFonts w:eastAsia="Times New Roman" w:cstheme="minorHAnsi"/>
                <w:lang w:eastAsia="en-GB"/>
              </w:rPr>
            </w:pPr>
            <w:r w:rsidRPr="00E25F61">
              <w:rPr>
                <w:rFonts w:eastAsia="Times New Roman" w:cstheme="minorHAnsi"/>
                <w:lang w:eastAsia="en-GB"/>
              </w:rPr>
              <w:t>Falkirk</w:t>
            </w:r>
          </w:p>
        </w:tc>
        <w:tc>
          <w:tcPr>
            <w:tcW w:w="992" w:type="dxa"/>
            <w:tcBorders>
              <w:top w:val="nil"/>
              <w:left w:val="nil"/>
              <w:bottom w:val="single" w:sz="4" w:space="0" w:color="auto"/>
              <w:right w:val="single" w:sz="8" w:space="0" w:color="auto"/>
            </w:tcBorders>
            <w:shd w:val="clear" w:color="auto" w:fill="auto"/>
            <w:noWrap/>
            <w:vAlign w:val="bottom"/>
            <w:hideMark/>
          </w:tcPr>
          <w:p w14:paraId="74C9D0BA"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25.3%</w:t>
            </w:r>
          </w:p>
        </w:tc>
      </w:tr>
      <w:tr w:rsidR="00FD53BB" w:rsidRPr="00061823" w14:paraId="61B56CE9" w14:textId="77777777" w:rsidTr="00FD53BB">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66D4E222"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11</w:t>
            </w:r>
          </w:p>
        </w:tc>
        <w:tc>
          <w:tcPr>
            <w:tcW w:w="2203" w:type="dxa"/>
            <w:tcBorders>
              <w:top w:val="nil"/>
              <w:left w:val="nil"/>
              <w:bottom w:val="single" w:sz="4" w:space="0" w:color="auto"/>
              <w:right w:val="single" w:sz="4" w:space="0" w:color="auto"/>
            </w:tcBorders>
            <w:shd w:val="clear" w:color="auto" w:fill="auto"/>
            <w:noWrap/>
            <w:vAlign w:val="bottom"/>
            <w:hideMark/>
          </w:tcPr>
          <w:p w14:paraId="0FF4114A" w14:textId="77777777" w:rsidR="00FD53BB" w:rsidRPr="00E25F61" w:rsidRDefault="00FD53BB" w:rsidP="00FD53BB">
            <w:pPr>
              <w:spacing w:before="0" w:after="0" w:line="240" w:lineRule="auto"/>
              <w:rPr>
                <w:rFonts w:eastAsia="Times New Roman" w:cstheme="minorHAnsi"/>
                <w:lang w:eastAsia="en-GB"/>
              </w:rPr>
            </w:pPr>
            <w:r w:rsidRPr="00E25F61">
              <w:rPr>
                <w:rFonts w:eastAsia="Times New Roman" w:cstheme="minorHAnsi"/>
                <w:lang w:eastAsia="en-GB"/>
              </w:rPr>
              <w:t>South Ayrshire</w:t>
            </w:r>
          </w:p>
        </w:tc>
        <w:tc>
          <w:tcPr>
            <w:tcW w:w="992" w:type="dxa"/>
            <w:tcBorders>
              <w:top w:val="nil"/>
              <w:left w:val="nil"/>
              <w:bottom w:val="single" w:sz="4" w:space="0" w:color="auto"/>
              <w:right w:val="single" w:sz="8" w:space="0" w:color="auto"/>
            </w:tcBorders>
            <w:shd w:val="clear" w:color="auto" w:fill="auto"/>
            <w:noWrap/>
            <w:vAlign w:val="bottom"/>
            <w:hideMark/>
          </w:tcPr>
          <w:p w14:paraId="2147FCAE"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24.4%</w:t>
            </w:r>
          </w:p>
        </w:tc>
      </w:tr>
      <w:tr w:rsidR="00FD53BB" w:rsidRPr="00061823" w14:paraId="17881389" w14:textId="77777777" w:rsidTr="00FD53BB">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08200E59"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12</w:t>
            </w:r>
          </w:p>
        </w:tc>
        <w:tc>
          <w:tcPr>
            <w:tcW w:w="2203" w:type="dxa"/>
            <w:tcBorders>
              <w:top w:val="nil"/>
              <w:left w:val="nil"/>
              <w:bottom w:val="single" w:sz="4" w:space="0" w:color="auto"/>
              <w:right w:val="single" w:sz="4" w:space="0" w:color="auto"/>
            </w:tcBorders>
            <w:shd w:val="clear" w:color="auto" w:fill="auto"/>
            <w:noWrap/>
            <w:vAlign w:val="bottom"/>
            <w:hideMark/>
          </w:tcPr>
          <w:p w14:paraId="50D32ECB" w14:textId="77777777" w:rsidR="00FD53BB" w:rsidRPr="00E25F61" w:rsidRDefault="00FD53BB" w:rsidP="00FD53BB">
            <w:pPr>
              <w:spacing w:before="0" w:after="0" w:line="240" w:lineRule="auto"/>
              <w:rPr>
                <w:rFonts w:eastAsia="Times New Roman" w:cstheme="minorHAnsi"/>
                <w:lang w:eastAsia="en-GB"/>
              </w:rPr>
            </w:pPr>
            <w:r w:rsidRPr="00E25F61">
              <w:rPr>
                <w:rFonts w:eastAsia="Times New Roman" w:cstheme="minorHAnsi"/>
                <w:lang w:eastAsia="en-GB"/>
              </w:rPr>
              <w:t>Inverclyde</w:t>
            </w:r>
          </w:p>
        </w:tc>
        <w:tc>
          <w:tcPr>
            <w:tcW w:w="992" w:type="dxa"/>
            <w:tcBorders>
              <w:top w:val="nil"/>
              <w:left w:val="nil"/>
              <w:bottom w:val="single" w:sz="4" w:space="0" w:color="auto"/>
              <w:right w:val="single" w:sz="8" w:space="0" w:color="auto"/>
            </w:tcBorders>
            <w:shd w:val="clear" w:color="auto" w:fill="auto"/>
            <w:noWrap/>
            <w:vAlign w:val="bottom"/>
            <w:hideMark/>
          </w:tcPr>
          <w:p w14:paraId="50B70001"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24.4%</w:t>
            </w:r>
          </w:p>
        </w:tc>
      </w:tr>
      <w:tr w:rsidR="00FD53BB" w:rsidRPr="00061823" w14:paraId="3D0A725A" w14:textId="77777777" w:rsidTr="00FD53BB">
        <w:trPr>
          <w:trHeight w:val="255"/>
        </w:trPr>
        <w:tc>
          <w:tcPr>
            <w:tcW w:w="882" w:type="dxa"/>
            <w:tcBorders>
              <w:top w:val="nil"/>
              <w:left w:val="single" w:sz="8" w:space="0" w:color="auto"/>
              <w:bottom w:val="single" w:sz="4" w:space="0" w:color="auto"/>
              <w:right w:val="single" w:sz="4" w:space="0" w:color="auto"/>
            </w:tcBorders>
            <w:shd w:val="clear" w:color="000000" w:fill="D9E1F2"/>
            <w:noWrap/>
            <w:vAlign w:val="bottom"/>
            <w:hideMark/>
          </w:tcPr>
          <w:p w14:paraId="5A623B32"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13</w:t>
            </w:r>
          </w:p>
        </w:tc>
        <w:tc>
          <w:tcPr>
            <w:tcW w:w="2203" w:type="dxa"/>
            <w:tcBorders>
              <w:top w:val="nil"/>
              <w:left w:val="nil"/>
              <w:bottom w:val="single" w:sz="4" w:space="0" w:color="auto"/>
              <w:right w:val="single" w:sz="4" w:space="0" w:color="auto"/>
            </w:tcBorders>
            <w:shd w:val="clear" w:color="000000" w:fill="D9E1F2"/>
            <w:noWrap/>
            <w:vAlign w:val="bottom"/>
            <w:hideMark/>
          </w:tcPr>
          <w:p w14:paraId="0585D17F" w14:textId="77777777" w:rsidR="00FD53BB" w:rsidRPr="00E25F61" w:rsidRDefault="00FD53BB" w:rsidP="00FD53BB">
            <w:pPr>
              <w:spacing w:before="0" w:after="0" w:line="240" w:lineRule="auto"/>
              <w:rPr>
                <w:rFonts w:eastAsia="Times New Roman" w:cstheme="minorHAnsi"/>
                <w:lang w:eastAsia="en-GB"/>
              </w:rPr>
            </w:pPr>
            <w:r w:rsidRPr="00E25F61">
              <w:rPr>
                <w:rFonts w:eastAsia="Times New Roman" w:cstheme="minorHAnsi"/>
                <w:lang w:eastAsia="en-GB"/>
              </w:rPr>
              <w:t>Angus</w:t>
            </w:r>
          </w:p>
        </w:tc>
        <w:tc>
          <w:tcPr>
            <w:tcW w:w="992" w:type="dxa"/>
            <w:tcBorders>
              <w:top w:val="nil"/>
              <w:left w:val="nil"/>
              <w:bottom w:val="single" w:sz="4" w:space="0" w:color="auto"/>
              <w:right w:val="single" w:sz="8" w:space="0" w:color="auto"/>
            </w:tcBorders>
            <w:shd w:val="clear" w:color="000000" w:fill="D9E1F2"/>
            <w:noWrap/>
            <w:vAlign w:val="bottom"/>
            <w:hideMark/>
          </w:tcPr>
          <w:p w14:paraId="79C2B0ED"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24.2%</w:t>
            </w:r>
          </w:p>
        </w:tc>
      </w:tr>
      <w:tr w:rsidR="00FD53BB" w:rsidRPr="00061823" w14:paraId="69BEAD2B" w14:textId="77777777" w:rsidTr="00FD53BB">
        <w:trPr>
          <w:trHeight w:val="263"/>
        </w:trPr>
        <w:tc>
          <w:tcPr>
            <w:tcW w:w="882" w:type="dxa"/>
            <w:tcBorders>
              <w:top w:val="nil"/>
              <w:left w:val="single" w:sz="8" w:space="0" w:color="auto"/>
              <w:bottom w:val="single" w:sz="4" w:space="0" w:color="auto"/>
              <w:right w:val="single" w:sz="4" w:space="0" w:color="auto"/>
            </w:tcBorders>
            <w:shd w:val="clear" w:color="000000" w:fill="FCE4D6"/>
            <w:noWrap/>
            <w:vAlign w:val="bottom"/>
            <w:hideMark/>
          </w:tcPr>
          <w:p w14:paraId="54D1C315" w14:textId="77777777" w:rsidR="00FD53BB" w:rsidRPr="00E25F61" w:rsidRDefault="00FD53BB" w:rsidP="00FD53BB">
            <w:pPr>
              <w:spacing w:before="0" w:after="0" w:line="240" w:lineRule="auto"/>
              <w:jc w:val="center"/>
              <w:rPr>
                <w:rFonts w:eastAsia="Times New Roman" w:cstheme="minorHAnsi"/>
                <w:b/>
                <w:bCs/>
                <w:lang w:eastAsia="en-GB"/>
              </w:rPr>
            </w:pPr>
            <w:r w:rsidRPr="00E25F61">
              <w:rPr>
                <w:rFonts w:eastAsia="Times New Roman" w:cstheme="minorHAnsi"/>
                <w:b/>
                <w:bCs/>
                <w:lang w:eastAsia="en-GB"/>
              </w:rPr>
              <w:t>14</w:t>
            </w:r>
          </w:p>
        </w:tc>
        <w:tc>
          <w:tcPr>
            <w:tcW w:w="2203" w:type="dxa"/>
            <w:tcBorders>
              <w:top w:val="nil"/>
              <w:left w:val="nil"/>
              <w:bottom w:val="single" w:sz="4" w:space="0" w:color="auto"/>
              <w:right w:val="single" w:sz="4" w:space="0" w:color="auto"/>
            </w:tcBorders>
            <w:shd w:val="clear" w:color="000000" w:fill="FCE4D6"/>
            <w:noWrap/>
            <w:vAlign w:val="bottom"/>
            <w:hideMark/>
          </w:tcPr>
          <w:p w14:paraId="0E35D50C" w14:textId="77777777" w:rsidR="00FD53BB" w:rsidRPr="00E25F61" w:rsidRDefault="00FD53BB" w:rsidP="00FD53BB">
            <w:pPr>
              <w:spacing w:before="0" w:after="0" w:line="240" w:lineRule="auto"/>
              <w:rPr>
                <w:rFonts w:eastAsia="Times New Roman" w:cstheme="minorHAnsi"/>
                <w:b/>
                <w:bCs/>
                <w:lang w:eastAsia="en-GB"/>
              </w:rPr>
            </w:pPr>
            <w:r w:rsidRPr="00E25F61">
              <w:rPr>
                <w:rFonts w:eastAsia="Times New Roman" w:cstheme="minorHAnsi"/>
                <w:b/>
                <w:bCs/>
                <w:lang w:eastAsia="en-GB"/>
              </w:rPr>
              <w:t>Moray</w:t>
            </w:r>
          </w:p>
        </w:tc>
        <w:tc>
          <w:tcPr>
            <w:tcW w:w="992" w:type="dxa"/>
            <w:tcBorders>
              <w:top w:val="nil"/>
              <w:left w:val="nil"/>
              <w:bottom w:val="single" w:sz="4" w:space="0" w:color="auto"/>
              <w:right w:val="single" w:sz="8" w:space="0" w:color="auto"/>
            </w:tcBorders>
            <w:shd w:val="clear" w:color="000000" w:fill="FCE4D6"/>
            <w:noWrap/>
            <w:vAlign w:val="bottom"/>
            <w:hideMark/>
          </w:tcPr>
          <w:p w14:paraId="423AEDB9" w14:textId="77777777" w:rsidR="00FD53BB" w:rsidRPr="00E25F61" w:rsidRDefault="00FD53BB" w:rsidP="00FD53BB">
            <w:pPr>
              <w:spacing w:before="0" w:after="0" w:line="240" w:lineRule="auto"/>
              <w:jc w:val="center"/>
              <w:rPr>
                <w:rFonts w:eastAsia="Times New Roman" w:cstheme="minorHAnsi"/>
                <w:b/>
                <w:bCs/>
                <w:lang w:eastAsia="en-GB"/>
              </w:rPr>
            </w:pPr>
            <w:r w:rsidRPr="00E25F61">
              <w:rPr>
                <w:rFonts w:eastAsia="Times New Roman" w:cstheme="minorHAnsi"/>
                <w:b/>
                <w:bCs/>
                <w:lang w:eastAsia="en-GB"/>
              </w:rPr>
              <w:t>24.1%</w:t>
            </w:r>
          </w:p>
        </w:tc>
      </w:tr>
      <w:tr w:rsidR="00FD53BB" w:rsidRPr="00061823" w14:paraId="37243708" w14:textId="77777777" w:rsidTr="00FD53BB">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53063817"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15</w:t>
            </w:r>
          </w:p>
        </w:tc>
        <w:tc>
          <w:tcPr>
            <w:tcW w:w="2203" w:type="dxa"/>
            <w:tcBorders>
              <w:top w:val="nil"/>
              <w:left w:val="nil"/>
              <w:bottom w:val="single" w:sz="4" w:space="0" w:color="auto"/>
              <w:right w:val="single" w:sz="4" w:space="0" w:color="auto"/>
            </w:tcBorders>
            <w:shd w:val="clear" w:color="auto" w:fill="auto"/>
            <w:noWrap/>
            <w:vAlign w:val="bottom"/>
            <w:hideMark/>
          </w:tcPr>
          <w:p w14:paraId="30A2B2A8" w14:textId="77777777" w:rsidR="00FD53BB" w:rsidRPr="00E25F61" w:rsidRDefault="00FD53BB" w:rsidP="00FD53BB">
            <w:pPr>
              <w:spacing w:before="0" w:after="0" w:line="240" w:lineRule="auto"/>
              <w:rPr>
                <w:rFonts w:eastAsia="Times New Roman" w:cstheme="minorHAnsi"/>
                <w:lang w:eastAsia="en-GB"/>
              </w:rPr>
            </w:pPr>
            <w:r w:rsidRPr="00E25F61">
              <w:rPr>
                <w:rFonts w:eastAsia="Times New Roman" w:cstheme="minorHAnsi"/>
                <w:lang w:eastAsia="en-GB"/>
              </w:rPr>
              <w:t>West Lothian</w:t>
            </w:r>
          </w:p>
        </w:tc>
        <w:tc>
          <w:tcPr>
            <w:tcW w:w="992" w:type="dxa"/>
            <w:tcBorders>
              <w:top w:val="nil"/>
              <w:left w:val="nil"/>
              <w:bottom w:val="single" w:sz="4" w:space="0" w:color="auto"/>
              <w:right w:val="single" w:sz="8" w:space="0" w:color="auto"/>
            </w:tcBorders>
            <w:shd w:val="clear" w:color="auto" w:fill="auto"/>
            <w:noWrap/>
            <w:vAlign w:val="bottom"/>
            <w:hideMark/>
          </w:tcPr>
          <w:p w14:paraId="6CACAAE0"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23.9%</w:t>
            </w:r>
          </w:p>
        </w:tc>
      </w:tr>
      <w:tr w:rsidR="00FD53BB" w:rsidRPr="00061823" w14:paraId="08552F59" w14:textId="77777777" w:rsidTr="00FD53BB">
        <w:trPr>
          <w:trHeight w:val="255"/>
        </w:trPr>
        <w:tc>
          <w:tcPr>
            <w:tcW w:w="882" w:type="dxa"/>
            <w:tcBorders>
              <w:top w:val="nil"/>
              <w:left w:val="single" w:sz="8" w:space="0" w:color="auto"/>
              <w:bottom w:val="single" w:sz="4" w:space="0" w:color="auto"/>
              <w:right w:val="single" w:sz="4" w:space="0" w:color="auto"/>
            </w:tcBorders>
            <w:shd w:val="clear" w:color="000000" w:fill="D9E1F2"/>
            <w:noWrap/>
            <w:vAlign w:val="bottom"/>
            <w:hideMark/>
          </w:tcPr>
          <w:p w14:paraId="035FF7DD"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16</w:t>
            </w:r>
          </w:p>
        </w:tc>
        <w:tc>
          <w:tcPr>
            <w:tcW w:w="2203" w:type="dxa"/>
            <w:tcBorders>
              <w:top w:val="nil"/>
              <w:left w:val="nil"/>
              <w:bottom w:val="single" w:sz="4" w:space="0" w:color="auto"/>
              <w:right w:val="single" w:sz="4" w:space="0" w:color="auto"/>
            </w:tcBorders>
            <w:shd w:val="clear" w:color="000000" w:fill="D9E1F2"/>
            <w:noWrap/>
            <w:vAlign w:val="bottom"/>
            <w:hideMark/>
          </w:tcPr>
          <w:p w14:paraId="13B4977B" w14:textId="77777777" w:rsidR="00FD53BB" w:rsidRPr="00E25F61" w:rsidRDefault="00FD53BB" w:rsidP="00FD53BB">
            <w:pPr>
              <w:spacing w:before="0" w:after="0" w:line="240" w:lineRule="auto"/>
              <w:rPr>
                <w:rFonts w:eastAsia="Times New Roman" w:cstheme="minorHAnsi"/>
                <w:lang w:eastAsia="en-GB"/>
              </w:rPr>
            </w:pPr>
            <w:r w:rsidRPr="00E25F61">
              <w:rPr>
                <w:rFonts w:eastAsia="Times New Roman" w:cstheme="minorHAnsi"/>
                <w:lang w:eastAsia="en-GB"/>
              </w:rPr>
              <w:t>Scottish Borders</w:t>
            </w:r>
          </w:p>
        </w:tc>
        <w:tc>
          <w:tcPr>
            <w:tcW w:w="992" w:type="dxa"/>
            <w:tcBorders>
              <w:top w:val="nil"/>
              <w:left w:val="nil"/>
              <w:bottom w:val="single" w:sz="4" w:space="0" w:color="auto"/>
              <w:right w:val="single" w:sz="8" w:space="0" w:color="auto"/>
            </w:tcBorders>
            <w:shd w:val="clear" w:color="000000" w:fill="D9E1F2"/>
            <w:noWrap/>
            <w:vAlign w:val="bottom"/>
            <w:hideMark/>
          </w:tcPr>
          <w:p w14:paraId="1223F405"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23.4%</w:t>
            </w:r>
          </w:p>
        </w:tc>
      </w:tr>
      <w:tr w:rsidR="00FD53BB" w:rsidRPr="00061823" w14:paraId="10B98D61" w14:textId="77777777" w:rsidTr="00FD53BB">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47062067"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17</w:t>
            </w:r>
          </w:p>
        </w:tc>
        <w:tc>
          <w:tcPr>
            <w:tcW w:w="2203" w:type="dxa"/>
            <w:tcBorders>
              <w:top w:val="nil"/>
              <w:left w:val="nil"/>
              <w:bottom w:val="single" w:sz="4" w:space="0" w:color="auto"/>
              <w:right w:val="single" w:sz="4" w:space="0" w:color="auto"/>
            </w:tcBorders>
            <w:shd w:val="clear" w:color="auto" w:fill="auto"/>
            <w:noWrap/>
            <w:vAlign w:val="bottom"/>
            <w:hideMark/>
          </w:tcPr>
          <w:p w14:paraId="5115FCAA" w14:textId="77777777" w:rsidR="00FD53BB" w:rsidRPr="00E25F61" w:rsidRDefault="00FD53BB" w:rsidP="00FD53BB">
            <w:pPr>
              <w:spacing w:before="0" w:after="0" w:line="240" w:lineRule="auto"/>
              <w:rPr>
                <w:rFonts w:eastAsia="Times New Roman" w:cstheme="minorHAnsi"/>
                <w:lang w:eastAsia="en-GB"/>
              </w:rPr>
            </w:pPr>
            <w:r w:rsidRPr="00E25F61">
              <w:rPr>
                <w:rFonts w:eastAsia="Times New Roman" w:cstheme="minorHAnsi"/>
                <w:lang w:eastAsia="en-GB"/>
              </w:rPr>
              <w:t>Renfrewshire</w:t>
            </w:r>
          </w:p>
        </w:tc>
        <w:tc>
          <w:tcPr>
            <w:tcW w:w="992" w:type="dxa"/>
            <w:tcBorders>
              <w:top w:val="nil"/>
              <w:left w:val="nil"/>
              <w:bottom w:val="single" w:sz="4" w:space="0" w:color="auto"/>
              <w:right w:val="single" w:sz="8" w:space="0" w:color="auto"/>
            </w:tcBorders>
            <w:shd w:val="clear" w:color="auto" w:fill="auto"/>
            <w:noWrap/>
            <w:vAlign w:val="bottom"/>
            <w:hideMark/>
          </w:tcPr>
          <w:p w14:paraId="538AD927"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23.3%</w:t>
            </w:r>
          </w:p>
        </w:tc>
      </w:tr>
      <w:tr w:rsidR="00FD53BB" w:rsidRPr="00061823" w14:paraId="31C4D7B2" w14:textId="77777777" w:rsidTr="00FD53BB">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39717E68"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18</w:t>
            </w:r>
          </w:p>
        </w:tc>
        <w:tc>
          <w:tcPr>
            <w:tcW w:w="2203" w:type="dxa"/>
            <w:tcBorders>
              <w:top w:val="nil"/>
              <w:left w:val="nil"/>
              <w:bottom w:val="single" w:sz="4" w:space="0" w:color="auto"/>
              <w:right w:val="single" w:sz="4" w:space="0" w:color="auto"/>
            </w:tcBorders>
            <w:shd w:val="clear" w:color="auto" w:fill="auto"/>
            <w:noWrap/>
            <w:vAlign w:val="bottom"/>
            <w:hideMark/>
          </w:tcPr>
          <w:p w14:paraId="520B3026" w14:textId="77777777" w:rsidR="00FD53BB" w:rsidRPr="00E25F61" w:rsidRDefault="00FD53BB" w:rsidP="00FD53BB">
            <w:pPr>
              <w:spacing w:before="0" w:after="0" w:line="240" w:lineRule="auto"/>
              <w:rPr>
                <w:rFonts w:eastAsia="Times New Roman" w:cstheme="minorHAnsi"/>
                <w:lang w:eastAsia="en-GB"/>
              </w:rPr>
            </w:pPr>
            <w:r w:rsidRPr="00E25F61">
              <w:rPr>
                <w:rFonts w:eastAsia="Times New Roman" w:cstheme="minorHAnsi"/>
                <w:lang w:eastAsia="en-GB"/>
              </w:rPr>
              <w:t>South Lanarkshire</w:t>
            </w:r>
          </w:p>
        </w:tc>
        <w:tc>
          <w:tcPr>
            <w:tcW w:w="992" w:type="dxa"/>
            <w:tcBorders>
              <w:top w:val="nil"/>
              <w:left w:val="nil"/>
              <w:bottom w:val="single" w:sz="4" w:space="0" w:color="auto"/>
              <w:right w:val="single" w:sz="8" w:space="0" w:color="auto"/>
            </w:tcBorders>
            <w:shd w:val="clear" w:color="auto" w:fill="auto"/>
            <w:noWrap/>
            <w:vAlign w:val="bottom"/>
            <w:hideMark/>
          </w:tcPr>
          <w:p w14:paraId="12430FE1"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22.8%</w:t>
            </w:r>
          </w:p>
        </w:tc>
      </w:tr>
      <w:tr w:rsidR="00FD53BB" w:rsidRPr="00061823" w14:paraId="412CA97F" w14:textId="77777777" w:rsidTr="00FD53BB">
        <w:trPr>
          <w:trHeight w:val="255"/>
        </w:trPr>
        <w:tc>
          <w:tcPr>
            <w:tcW w:w="882" w:type="dxa"/>
            <w:tcBorders>
              <w:top w:val="nil"/>
              <w:left w:val="single" w:sz="8" w:space="0" w:color="auto"/>
              <w:bottom w:val="single" w:sz="4" w:space="0" w:color="auto"/>
              <w:right w:val="single" w:sz="4" w:space="0" w:color="auto"/>
            </w:tcBorders>
            <w:shd w:val="clear" w:color="000000" w:fill="D9E1F2"/>
            <w:noWrap/>
            <w:vAlign w:val="bottom"/>
            <w:hideMark/>
          </w:tcPr>
          <w:p w14:paraId="6793A0E7"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19</w:t>
            </w:r>
          </w:p>
        </w:tc>
        <w:tc>
          <w:tcPr>
            <w:tcW w:w="2203" w:type="dxa"/>
            <w:tcBorders>
              <w:top w:val="nil"/>
              <w:left w:val="nil"/>
              <w:bottom w:val="single" w:sz="4" w:space="0" w:color="auto"/>
              <w:right w:val="single" w:sz="4" w:space="0" w:color="auto"/>
            </w:tcBorders>
            <w:shd w:val="clear" w:color="000000" w:fill="D9E1F2"/>
            <w:noWrap/>
            <w:vAlign w:val="bottom"/>
            <w:hideMark/>
          </w:tcPr>
          <w:p w14:paraId="2590A492" w14:textId="77777777" w:rsidR="00FD53BB" w:rsidRPr="00E25F61" w:rsidRDefault="00FD53BB" w:rsidP="00FD53BB">
            <w:pPr>
              <w:spacing w:before="0" w:after="0" w:line="240" w:lineRule="auto"/>
              <w:rPr>
                <w:rFonts w:eastAsia="Times New Roman" w:cstheme="minorHAnsi"/>
                <w:lang w:eastAsia="en-GB"/>
              </w:rPr>
            </w:pPr>
            <w:r w:rsidRPr="00E25F61">
              <w:rPr>
                <w:rFonts w:eastAsia="Times New Roman" w:cstheme="minorHAnsi"/>
                <w:lang w:eastAsia="en-GB"/>
              </w:rPr>
              <w:t>Highland</w:t>
            </w:r>
          </w:p>
        </w:tc>
        <w:tc>
          <w:tcPr>
            <w:tcW w:w="992" w:type="dxa"/>
            <w:tcBorders>
              <w:top w:val="nil"/>
              <w:left w:val="nil"/>
              <w:bottom w:val="single" w:sz="4" w:space="0" w:color="auto"/>
              <w:right w:val="single" w:sz="8" w:space="0" w:color="auto"/>
            </w:tcBorders>
            <w:shd w:val="clear" w:color="000000" w:fill="D9E1F2"/>
            <w:noWrap/>
            <w:vAlign w:val="bottom"/>
            <w:hideMark/>
          </w:tcPr>
          <w:p w14:paraId="39064909"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22.8%</w:t>
            </w:r>
          </w:p>
        </w:tc>
      </w:tr>
      <w:tr w:rsidR="00FD53BB" w:rsidRPr="00061823" w14:paraId="78E5D4AD" w14:textId="77777777" w:rsidTr="00FD53BB">
        <w:trPr>
          <w:trHeight w:val="255"/>
        </w:trPr>
        <w:tc>
          <w:tcPr>
            <w:tcW w:w="882" w:type="dxa"/>
            <w:tcBorders>
              <w:top w:val="nil"/>
              <w:left w:val="single" w:sz="8" w:space="0" w:color="auto"/>
              <w:bottom w:val="single" w:sz="4" w:space="0" w:color="auto"/>
              <w:right w:val="single" w:sz="4" w:space="0" w:color="auto"/>
            </w:tcBorders>
            <w:shd w:val="clear" w:color="000000" w:fill="D9E1F2"/>
            <w:noWrap/>
            <w:vAlign w:val="bottom"/>
            <w:hideMark/>
          </w:tcPr>
          <w:p w14:paraId="696F550F"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20</w:t>
            </w:r>
          </w:p>
        </w:tc>
        <w:tc>
          <w:tcPr>
            <w:tcW w:w="2203" w:type="dxa"/>
            <w:tcBorders>
              <w:top w:val="nil"/>
              <w:left w:val="nil"/>
              <w:bottom w:val="single" w:sz="4" w:space="0" w:color="auto"/>
              <w:right w:val="single" w:sz="4" w:space="0" w:color="auto"/>
            </w:tcBorders>
            <w:shd w:val="clear" w:color="000000" w:fill="D9E1F2"/>
            <w:noWrap/>
            <w:vAlign w:val="bottom"/>
            <w:hideMark/>
          </w:tcPr>
          <w:p w14:paraId="6F1F1E2D" w14:textId="77777777" w:rsidR="00FD53BB" w:rsidRPr="00E25F61" w:rsidRDefault="00FD53BB" w:rsidP="00FD53BB">
            <w:pPr>
              <w:spacing w:before="0" w:after="0" w:line="240" w:lineRule="auto"/>
              <w:rPr>
                <w:rFonts w:eastAsia="Times New Roman" w:cstheme="minorHAnsi"/>
                <w:lang w:eastAsia="en-GB"/>
              </w:rPr>
            </w:pPr>
            <w:r w:rsidRPr="00E25F61">
              <w:rPr>
                <w:rFonts w:eastAsia="Times New Roman" w:cstheme="minorHAnsi"/>
                <w:lang w:eastAsia="en-GB"/>
              </w:rPr>
              <w:t>Midlothian</w:t>
            </w:r>
          </w:p>
        </w:tc>
        <w:tc>
          <w:tcPr>
            <w:tcW w:w="992" w:type="dxa"/>
            <w:tcBorders>
              <w:top w:val="nil"/>
              <w:left w:val="nil"/>
              <w:bottom w:val="single" w:sz="4" w:space="0" w:color="auto"/>
              <w:right w:val="single" w:sz="8" w:space="0" w:color="auto"/>
            </w:tcBorders>
            <w:shd w:val="clear" w:color="000000" w:fill="D9E1F2"/>
            <w:noWrap/>
            <w:vAlign w:val="bottom"/>
            <w:hideMark/>
          </w:tcPr>
          <w:p w14:paraId="17D59C9C"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22.7%</w:t>
            </w:r>
          </w:p>
        </w:tc>
      </w:tr>
      <w:tr w:rsidR="00FD53BB" w:rsidRPr="00061823" w14:paraId="041BFAD5" w14:textId="77777777" w:rsidTr="00FD53BB">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241CE00B"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21</w:t>
            </w:r>
          </w:p>
        </w:tc>
        <w:tc>
          <w:tcPr>
            <w:tcW w:w="2203" w:type="dxa"/>
            <w:tcBorders>
              <w:top w:val="nil"/>
              <w:left w:val="nil"/>
              <w:bottom w:val="single" w:sz="4" w:space="0" w:color="auto"/>
              <w:right w:val="single" w:sz="4" w:space="0" w:color="auto"/>
            </w:tcBorders>
            <w:shd w:val="clear" w:color="auto" w:fill="auto"/>
            <w:noWrap/>
            <w:vAlign w:val="bottom"/>
            <w:hideMark/>
          </w:tcPr>
          <w:p w14:paraId="02CBCEC1" w14:textId="77777777" w:rsidR="00FD53BB" w:rsidRPr="00E25F61" w:rsidRDefault="00FD53BB" w:rsidP="00FD53BB">
            <w:pPr>
              <w:spacing w:before="0" w:after="0" w:line="240" w:lineRule="auto"/>
              <w:rPr>
                <w:rFonts w:eastAsia="Times New Roman" w:cstheme="minorHAnsi"/>
                <w:lang w:eastAsia="en-GB"/>
              </w:rPr>
            </w:pPr>
            <w:r w:rsidRPr="00E25F61">
              <w:rPr>
                <w:rFonts w:eastAsia="Times New Roman" w:cstheme="minorHAnsi"/>
                <w:lang w:eastAsia="en-GB"/>
              </w:rPr>
              <w:t>Perth and Kinross</w:t>
            </w:r>
          </w:p>
        </w:tc>
        <w:tc>
          <w:tcPr>
            <w:tcW w:w="992" w:type="dxa"/>
            <w:tcBorders>
              <w:top w:val="nil"/>
              <w:left w:val="nil"/>
              <w:bottom w:val="single" w:sz="4" w:space="0" w:color="auto"/>
              <w:right w:val="single" w:sz="8" w:space="0" w:color="auto"/>
            </w:tcBorders>
            <w:shd w:val="clear" w:color="auto" w:fill="auto"/>
            <w:noWrap/>
            <w:vAlign w:val="bottom"/>
            <w:hideMark/>
          </w:tcPr>
          <w:p w14:paraId="5FC783E6"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21.9%</w:t>
            </w:r>
          </w:p>
        </w:tc>
      </w:tr>
      <w:tr w:rsidR="00FD53BB" w:rsidRPr="00061823" w14:paraId="3FD0CF2E" w14:textId="77777777" w:rsidTr="00FD53BB">
        <w:trPr>
          <w:trHeight w:val="255"/>
        </w:trPr>
        <w:tc>
          <w:tcPr>
            <w:tcW w:w="882" w:type="dxa"/>
            <w:tcBorders>
              <w:top w:val="nil"/>
              <w:left w:val="single" w:sz="8" w:space="0" w:color="auto"/>
              <w:bottom w:val="single" w:sz="4" w:space="0" w:color="auto"/>
              <w:right w:val="single" w:sz="4" w:space="0" w:color="auto"/>
            </w:tcBorders>
            <w:shd w:val="clear" w:color="000000" w:fill="D9E1F2"/>
            <w:noWrap/>
            <w:vAlign w:val="bottom"/>
            <w:hideMark/>
          </w:tcPr>
          <w:p w14:paraId="4072738D"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22</w:t>
            </w:r>
          </w:p>
        </w:tc>
        <w:tc>
          <w:tcPr>
            <w:tcW w:w="2203" w:type="dxa"/>
            <w:tcBorders>
              <w:top w:val="nil"/>
              <w:left w:val="nil"/>
              <w:bottom w:val="single" w:sz="4" w:space="0" w:color="auto"/>
              <w:right w:val="single" w:sz="4" w:space="0" w:color="auto"/>
            </w:tcBorders>
            <w:shd w:val="clear" w:color="000000" w:fill="D9E1F2"/>
            <w:noWrap/>
            <w:vAlign w:val="bottom"/>
            <w:hideMark/>
          </w:tcPr>
          <w:p w14:paraId="01C7CE94" w14:textId="77777777" w:rsidR="00FD53BB" w:rsidRPr="00E25F61" w:rsidRDefault="00FD53BB" w:rsidP="00FD53BB">
            <w:pPr>
              <w:spacing w:before="0" w:after="0" w:line="240" w:lineRule="auto"/>
              <w:rPr>
                <w:rFonts w:eastAsia="Times New Roman" w:cstheme="minorHAnsi"/>
                <w:lang w:eastAsia="en-GB"/>
              </w:rPr>
            </w:pPr>
            <w:r w:rsidRPr="00E25F61">
              <w:rPr>
                <w:rFonts w:eastAsia="Times New Roman" w:cstheme="minorHAnsi"/>
                <w:lang w:eastAsia="en-GB"/>
              </w:rPr>
              <w:t>Argyll and Bute</w:t>
            </w:r>
          </w:p>
        </w:tc>
        <w:tc>
          <w:tcPr>
            <w:tcW w:w="992" w:type="dxa"/>
            <w:tcBorders>
              <w:top w:val="nil"/>
              <w:left w:val="nil"/>
              <w:bottom w:val="single" w:sz="4" w:space="0" w:color="auto"/>
              <w:right w:val="single" w:sz="8" w:space="0" w:color="auto"/>
            </w:tcBorders>
            <w:shd w:val="clear" w:color="000000" w:fill="D9E1F2"/>
            <w:noWrap/>
            <w:vAlign w:val="bottom"/>
            <w:hideMark/>
          </w:tcPr>
          <w:p w14:paraId="694CBBE2"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21.7%</w:t>
            </w:r>
          </w:p>
        </w:tc>
      </w:tr>
      <w:tr w:rsidR="00FD53BB" w:rsidRPr="00061823" w14:paraId="775F83D9" w14:textId="77777777" w:rsidTr="00FD53BB">
        <w:trPr>
          <w:trHeight w:val="255"/>
        </w:trPr>
        <w:tc>
          <w:tcPr>
            <w:tcW w:w="882" w:type="dxa"/>
            <w:tcBorders>
              <w:top w:val="nil"/>
              <w:left w:val="single" w:sz="8" w:space="0" w:color="auto"/>
              <w:bottom w:val="single" w:sz="4" w:space="0" w:color="auto"/>
              <w:right w:val="single" w:sz="4" w:space="0" w:color="auto"/>
            </w:tcBorders>
            <w:shd w:val="clear" w:color="000000" w:fill="D9E1F2"/>
            <w:noWrap/>
            <w:vAlign w:val="bottom"/>
            <w:hideMark/>
          </w:tcPr>
          <w:p w14:paraId="48A8EEC7"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23</w:t>
            </w:r>
          </w:p>
        </w:tc>
        <w:tc>
          <w:tcPr>
            <w:tcW w:w="2203" w:type="dxa"/>
            <w:tcBorders>
              <w:top w:val="nil"/>
              <w:left w:val="nil"/>
              <w:bottom w:val="single" w:sz="4" w:space="0" w:color="auto"/>
              <w:right w:val="single" w:sz="4" w:space="0" w:color="auto"/>
            </w:tcBorders>
            <w:shd w:val="clear" w:color="000000" w:fill="D9E1F2"/>
            <w:noWrap/>
            <w:vAlign w:val="bottom"/>
            <w:hideMark/>
          </w:tcPr>
          <w:p w14:paraId="13DD24AF" w14:textId="77777777" w:rsidR="00FD53BB" w:rsidRPr="00E25F61" w:rsidRDefault="00FD53BB" w:rsidP="00FD53BB">
            <w:pPr>
              <w:spacing w:before="0" w:after="0" w:line="240" w:lineRule="auto"/>
              <w:rPr>
                <w:rFonts w:eastAsia="Times New Roman" w:cstheme="minorHAnsi"/>
                <w:lang w:eastAsia="en-GB"/>
              </w:rPr>
            </w:pPr>
            <w:r w:rsidRPr="00E25F61">
              <w:rPr>
                <w:rFonts w:eastAsia="Times New Roman" w:cstheme="minorHAnsi"/>
                <w:lang w:eastAsia="en-GB"/>
              </w:rPr>
              <w:t>East Lothian</w:t>
            </w:r>
          </w:p>
        </w:tc>
        <w:tc>
          <w:tcPr>
            <w:tcW w:w="992" w:type="dxa"/>
            <w:tcBorders>
              <w:top w:val="nil"/>
              <w:left w:val="nil"/>
              <w:bottom w:val="single" w:sz="4" w:space="0" w:color="auto"/>
              <w:right w:val="single" w:sz="8" w:space="0" w:color="auto"/>
            </w:tcBorders>
            <w:shd w:val="clear" w:color="000000" w:fill="D9E1F2"/>
            <w:noWrap/>
            <w:vAlign w:val="bottom"/>
            <w:hideMark/>
          </w:tcPr>
          <w:p w14:paraId="25D4FFA1"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21.1%</w:t>
            </w:r>
          </w:p>
        </w:tc>
      </w:tr>
      <w:tr w:rsidR="00FD53BB" w:rsidRPr="00061823" w14:paraId="511F5699" w14:textId="77777777" w:rsidTr="00FD53BB">
        <w:trPr>
          <w:trHeight w:val="255"/>
        </w:trPr>
        <w:tc>
          <w:tcPr>
            <w:tcW w:w="882" w:type="dxa"/>
            <w:tcBorders>
              <w:top w:val="nil"/>
              <w:left w:val="single" w:sz="8" w:space="0" w:color="auto"/>
              <w:bottom w:val="single" w:sz="4" w:space="0" w:color="auto"/>
              <w:right w:val="single" w:sz="4" w:space="0" w:color="auto"/>
            </w:tcBorders>
            <w:shd w:val="clear" w:color="000000" w:fill="D9E1F2"/>
            <w:noWrap/>
            <w:vAlign w:val="bottom"/>
            <w:hideMark/>
          </w:tcPr>
          <w:p w14:paraId="26521D29"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24</w:t>
            </w:r>
          </w:p>
        </w:tc>
        <w:tc>
          <w:tcPr>
            <w:tcW w:w="2203" w:type="dxa"/>
            <w:tcBorders>
              <w:top w:val="nil"/>
              <w:left w:val="nil"/>
              <w:bottom w:val="single" w:sz="4" w:space="0" w:color="auto"/>
              <w:right w:val="single" w:sz="4" w:space="0" w:color="auto"/>
            </w:tcBorders>
            <w:shd w:val="clear" w:color="000000" w:fill="D9E1F2"/>
            <w:noWrap/>
            <w:vAlign w:val="bottom"/>
            <w:hideMark/>
          </w:tcPr>
          <w:p w14:paraId="37357527" w14:textId="77777777" w:rsidR="00FD53BB" w:rsidRPr="00E25F61" w:rsidRDefault="00FD53BB" w:rsidP="00FD53BB">
            <w:pPr>
              <w:spacing w:before="0" w:after="0" w:line="240" w:lineRule="auto"/>
              <w:rPr>
                <w:rFonts w:eastAsia="Times New Roman" w:cstheme="minorHAnsi"/>
                <w:lang w:eastAsia="en-GB"/>
              </w:rPr>
            </w:pPr>
            <w:r w:rsidRPr="00E25F61">
              <w:rPr>
                <w:rFonts w:eastAsia="Times New Roman" w:cstheme="minorHAnsi"/>
                <w:lang w:eastAsia="en-GB"/>
              </w:rPr>
              <w:t>Stirling</w:t>
            </w:r>
          </w:p>
        </w:tc>
        <w:tc>
          <w:tcPr>
            <w:tcW w:w="992" w:type="dxa"/>
            <w:tcBorders>
              <w:top w:val="nil"/>
              <w:left w:val="nil"/>
              <w:bottom w:val="single" w:sz="4" w:space="0" w:color="auto"/>
              <w:right w:val="single" w:sz="8" w:space="0" w:color="auto"/>
            </w:tcBorders>
            <w:shd w:val="clear" w:color="000000" w:fill="D9E1F2"/>
            <w:noWrap/>
            <w:vAlign w:val="bottom"/>
            <w:hideMark/>
          </w:tcPr>
          <w:p w14:paraId="18DC290B"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20.8%</w:t>
            </w:r>
          </w:p>
        </w:tc>
      </w:tr>
      <w:tr w:rsidR="00FD53BB" w:rsidRPr="00061823" w14:paraId="26E7E34D" w14:textId="77777777" w:rsidTr="00FD53BB">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3A4A0FFD"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25</w:t>
            </w:r>
          </w:p>
        </w:tc>
        <w:tc>
          <w:tcPr>
            <w:tcW w:w="2203" w:type="dxa"/>
            <w:tcBorders>
              <w:top w:val="nil"/>
              <w:left w:val="nil"/>
              <w:bottom w:val="single" w:sz="4" w:space="0" w:color="auto"/>
              <w:right w:val="single" w:sz="4" w:space="0" w:color="auto"/>
            </w:tcBorders>
            <w:shd w:val="clear" w:color="auto" w:fill="auto"/>
            <w:noWrap/>
            <w:vAlign w:val="bottom"/>
            <w:hideMark/>
          </w:tcPr>
          <w:p w14:paraId="46541FAC" w14:textId="77777777" w:rsidR="00FD53BB" w:rsidRPr="00E25F61" w:rsidRDefault="00FD53BB" w:rsidP="00FD53BB">
            <w:pPr>
              <w:spacing w:before="0" w:after="0" w:line="240" w:lineRule="auto"/>
              <w:rPr>
                <w:rFonts w:eastAsia="Times New Roman" w:cstheme="minorHAnsi"/>
                <w:lang w:eastAsia="en-GB"/>
              </w:rPr>
            </w:pPr>
            <w:r w:rsidRPr="00E25F61">
              <w:rPr>
                <w:rFonts w:eastAsia="Times New Roman" w:cstheme="minorHAnsi"/>
                <w:lang w:eastAsia="en-GB"/>
              </w:rPr>
              <w:t>Aberdeen City</w:t>
            </w:r>
          </w:p>
        </w:tc>
        <w:tc>
          <w:tcPr>
            <w:tcW w:w="992" w:type="dxa"/>
            <w:tcBorders>
              <w:top w:val="nil"/>
              <w:left w:val="nil"/>
              <w:bottom w:val="single" w:sz="4" w:space="0" w:color="auto"/>
              <w:right w:val="single" w:sz="8" w:space="0" w:color="auto"/>
            </w:tcBorders>
            <w:shd w:val="clear" w:color="auto" w:fill="auto"/>
            <w:noWrap/>
            <w:vAlign w:val="bottom"/>
            <w:hideMark/>
          </w:tcPr>
          <w:p w14:paraId="244FDD42"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20.5%</w:t>
            </w:r>
          </w:p>
        </w:tc>
      </w:tr>
      <w:tr w:rsidR="00FD53BB" w:rsidRPr="00061823" w14:paraId="5351316C" w14:textId="77777777" w:rsidTr="00FD53BB">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2907CEE6"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26</w:t>
            </w:r>
          </w:p>
        </w:tc>
        <w:tc>
          <w:tcPr>
            <w:tcW w:w="2203" w:type="dxa"/>
            <w:tcBorders>
              <w:top w:val="nil"/>
              <w:left w:val="nil"/>
              <w:bottom w:val="single" w:sz="4" w:space="0" w:color="auto"/>
              <w:right w:val="single" w:sz="4" w:space="0" w:color="auto"/>
            </w:tcBorders>
            <w:shd w:val="clear" w:color="auto" w:fill="auto"/>
            <w:noWrap/>
            <w:vAlign w:val="bottom"/>
            <w:hideMark/>
          </w:tcPr>
          <w:p w14:paraId="2B9923CC" w14:textId="77777777" w:rsidR="00FD53BB" w:rsidRPr="00E25F61" w:rsidRDefault="00FD53BB" w:rsidP="00FD53BB">
            <w:pPr>
              <w:spacing w:before="0" w:after="0" w:line="240" w:lineRule="auto"/>
              <w:rPr>
                <w:rFonts w:eastAsia="Times New Roman" w:cstheme="minorHAnsi"/>
                <w:lang w:eastAsia="en-GB"/>
              </w:rPr>
            </w:pPr>
            <w:r w:rsidRPr="00E25F61">
              <w:rPr>
                <w:rFonts w:eastAsia="Times New Roman" w:cstheme="minorHAnsi"/>
                <w:lang w:eastAsia="en-GB"/>
              </w:rPr>
              <w:t>Orkney Islands</w:t>
            </w:r>
          </w:p>
        </w:tc>
        <w:tc>
          <w:tcPr>
            <w:tcW w:w="992" w:type="dxa"/>
            <w:tcBorders>
              <w:top w:val="nil"/>
              <w:left w:val="nil"/>
              <w:bottom w:val="single" w:sz="4" w:space="0" w:color="auto"/>
              <w:right w:val="single" w:sz="8" w:space="0" w:color="auto"/>
            </w:tcBorders>
            <w:shd w:val="clear" w:color="auto" w:fill="auto"/>
            <w:noWrap/>
            <w:vAlign w:val="bottom"/>
            <w:hideMark/>
          </w:tcPr>
          <w:p w14:paraId="2CFF2593"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20.1%</w:t>
            </w:r>
          </w:p>
        </w:tc>
      </w:tr>
      <w:tr w:rsidR="00FD53BB" w:rsidRPr="00061823" w14:paraId="3D61C991" w14:textId="77777777" w:rsidTr="00FD53BB">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6CE1DED6"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27</w:t>
            </w:r>
          </w:p>
        </w:tc>
        <w:tc>
          <w:tcPr>
            <w:tcW w:w="2203" w:type="dxa"/>
            <w:tcBorders>
              <w:top w:val="nil"/>
              <w:left w:val="nil"/>
              <w:bottom w:val="single" w:sz="4" w:space="0" w:color="auto"/>
              <w:right w:val="single" w:sz="4" w:space="0" w:color="auto"/>
            </w:tcBorders>
            <w:shd w:val="clear" w:color="auto" w:fill="auto"/>
            <w:noWrap/>
            <w:vAlign w:val="bottom"/>
            <w:hideMark/>
          </w:tcPr>
          <w:p w14:paraId="302EB972" w14:textId="77777777" w:rsidR="00FD53BB" w:rsidRPr="00E25F61" w:rsidRDefault="00FD53BB" w:rsidP="00FD53BB">
            <w:pPr>
              <w:spacing w:before="0" w:after="0" w:line="240" w:lineRule="auto"/>
              <w:rPr>
                <w:rFonts w:eastAsia="Times New Roman" w:cstheme="minorHAnsi"/>
                <w:lang w:eastAsia="en-GB"/>
              </w:rPr>
            </w:pPr>
            <w:r w:rsidRPr="00E25F61">
              <w:rPr>
                <w:rFonts w:eastAsia="Times New Roman" w:cstheme="minorHAnsi"/>
                <w:lang w:eastAsia="en-GB"/>
              </w:rPr>
              <w:t>Western Isles</w:t>
            </w:r>
          </w:p>
        </w:tc>
        <w:tc>
          <w:tcPr>
            <w:tcW w:w="992" w:type="dxa"/>
            <w:tcBorders>
              <w:top w:val="nil"/>
              <w:left w:val="nil"/>
              <w:bottom w:val="single" w:sz="4" w:space="0" w:color="auto"/>
              <w:right w:val="single" w:sz="8" w:space="0" w:color="auto"/>
            </w:tcBorders>
            <w:shd w:val="clear" w:color="auto" w:fill="auto"/>
            <w:noWrap/>
            <w:vAlign w:val="bottom"/>
            <w:hideMark/>
          </w:tcPr>
          <w:p w14:paraId="0B8D0E14"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19.8%</w:t>
            </w:r>
          </w:p>
        </w:tc>
      </w:tr>
      <w:tr w:rsidR="00FD53BB" w:rsidRPr="00061823" w14:paraId="2496E4F3" w14:textId="77777777" w:rsidTr="00FD53BB">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6B7E9145"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28</w:t>
            </w:r>
          </w:p>
        </w:tc>
        <w:tc>
          <w:tcPr>
            <w:tcW w:w="2203" w:type="dxa"/>
            <w:tcBorders>
              <w:top w:val="nil"/>
              <w:left w:val="nil"/>
              <w:bottom w:val="single" w:sz="4" w:space="0" w:color="auto"/>
              <w:right w:val="single" w:sz="4" w:space="0" w:color="auto"/>
            </w:tcBorders>
            <w:shd w:val="clear" w:color="auto" w:fill="auto"/>
            <w:noWrap/>
            <w:vAlign w:val="bottom"/>
            <w:hideMark/>
          </w:tcPr>
          <w:p w14:paraId="7197FCD9" w14:textId="77777777" w:rsidR="00FD53BB" w:rsidRPr="00E25F61" w:rsidRDefault="00FD53BB" w:rsidP="00FD53BB">
            <w:pPr>
              <w:spacing w:before="0" w:after="0" w:line="240" w:lineRule="auto"/>
              <w:rPr>
                <w:rFonts w:eastAsia="Times New Roman" w:cstheme="minorHAnsi"/>
                <w:lang w:eastAsia="en-GB"/>
              </w:rPr>
            </w:pPr>
            <w:r w:rsidRPr="00E25F61">
              <w:rPr>
                <w:rFonts w:eastAsia="Times New Roman" w:cstheme="minorHAnsi"/>
                <w:lang w:eastAsia="en-GB"/>
              </w:rPr>
              <w:t>City of Edinburgh</w:t>
            </w:r>
          </w:p>
        </w:tc>
        <w:tc>
          <w:tcPr>
            <w:tcW w:w="992" w:type="dxa"/>
            <w:tcBorders>
              <w:top w:val="nil"/>
              <w:left w:val="nil"/>
              <w:bottom w:val="single" w:sz="4" w:space="0" w:color="auto"/>
              <w:right w:val="single" w:sz="8" w:space="0" w:color="auto"/>
            </w:tcBorders>
            <w:shd w:val="clear" w:color="auto" w:fill="auto"/>
            <w:noWrap/>
            <w:vAlign w:val="bottom"/>
            <w:hideMark/>
          </w:tcPr>
          <w:p w14:paraId="6ECC098A"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19.5%</w:t>
            </w:r>
          </w:p>
        </w:tc>
      </w:tr>
      <w:tr w:rsidR="00FD53BB" w:rsidRPr="00061823" w14:paraId="6BE35B43" w14:textId="77777777" w:rsidTr="00FD53BB">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4BDA14D2"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29</w:t>
            </w:r>
          </w:p>
        </w:tc>
        <w:tc>
          <w:tcPr>
            <w:tcW w:w="2203" w:type="dxa"/>
            <w:tcBorders>
              <w:top w:val="nil"/>
              <w:left w:val="nil"/>
              <w:bottom w:val="single" w:sz="4" w:space="0" w:color="auto"/>
              <w:right w:val="single" w:sz="4" w:space="0" w:color="auto"/>
            </w:tcBorders>
            <w:shd w:val="clear" w:color="auto" w:fill="auto"/>
            <w:noWrap/>
            <w:vAlign w:val="bottom"/>
            <w:hideMark/>
          </w:tcPr>
          <w:p w14:paraId="085D8E44" w14:textId="77777777" w:rsidR="00FD53BB" w:rsidRPr="00E25F61" w:rsidRDefault="00FD53BB" w:rsidP="00FD53BB">
            <w:pPr>
              <w:spacing w:before="0" w:after="0" w:line="240" w:lineRule="auto"/>
              <w:rPr>
                <w:rFonts w:eastAsia="Times New Roman" w:cstheme="minorHAnsi"/>
                <w:lang w:eastAsia="en-GB"/>
              </w:rPr>
            </w:pPr>
            <w:r w:rsidRPr="00E25F61">
              <w:rPr>
                <w:rFonts w:eastAsia="Times New Roman" w:cstheme="minorHAnsi"/>
                <w:lang w:eastAsia="en-GB"/>
              </w:rPr>
              <w:t>Aberdeenshire</w:t>
            </w:r>
          </w:p>
        </w:tc>
        <w:tc>
          <w:tcPr>
            <w:tcW w:w="992" w:type="dxa"/>
            <w:tcBorders>
              <w:top w:val="nil"/>
              <w:left w:val="nil"/>
              <w:bottom w:val="single" w:sz="4" w:space="0" w:color="auto"/>
              <w:right w:val="single" w:sz="8" w:space="0" w:color="auto"/>
            </w:tcBorders>
            <w:shd w:val="clear" w:color="auto" w:fill="auto"/>
            <w:noWrap/>
            <w:vAlign w:val="bottom"/>
            <w:hideMark/>
          </w:tcPr>
          <w:p w14:paraId="08276F3E"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16.0%</w:t>
            </w:r>
          </w:p>
        </w:tc>
      </w:tr>
      <w:tr w:rsidR="00FD53BB" w:rsidRPr="00061823" w14:paraId="44DA1B24" w14:textId="77777777" w:rsidTr="00FD53BB">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0C310CF5"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30</w:t>
            </w:r>
          </w:p>
        </w:tc>
        <w:tc>
          <w:tcPr>
            <w:tcW w:w="2203" w:type="dxa"/>
            <w:tcBorders>
              <w:top w:val="nil"/>
              <w:left w:val="nil"/>
              <w:bottom w:val="single" w:sz="4" w:space="0" w:color="auto"/>
              <w:right w:val="single" w:sz="4" w:space="0" w:color="auto"/>
            </w:tcBorders>
            <w:shd w:val="clear" w:color="auto" w:fill="auto"/>
            <w:noWrap/>
            <w:vAlign w:val="bottom"/>
            <w:hideMark/>
          </w:tcPr>
          <w:p w14:paraId="50CAD0F8" w14:textId="77777777" w:rsidR="00FD53BB" w:rsidRPr="00E25F61" w:rsidRDefault="00FD53BB" w:rsidP="00FD53BB">
            <w:pPr>
              <w:spacing w:before="0" w:after="0" w:line="240" w:lineRule="auto"/>
              <w:rPr>
                <w:rFonts w:eastAsia="Times New Roman" w:cstheme="minorHAnsi"/>
                <w:lang w:eastAsia="en-GB"/>
              </w:rPr>
            </w:pPr>
            <w:r w:rsidRPr="00E25F61">
              <w:rPr>
                <w:rFonts w:eastAsia="Times New Roman" w:cstheme="minorHAnsi"/>
                <w:lang w:eastAsia="en-GB"/>
              </w:rPr>
              <w:t>Shetland Islands</w:t>
            </w:r>
          </w:p>
        </w:tc>
        <w:tc>
          <w:tcPr>
            <w:tcW w:w="992" w:type="dxa"/>
            <w:tcBorders>
              <w:top w:val="nil"/>
              <w:left w:val="nil"/>
              <w:bottom w:val="single" w:sz="4" w:space="0" w:color="auto"/>
              <w:right w:val="single" w:sz="8" w:space="0" w:color="auto"/>
            </w:tcBorders>
            <w:shd w:val="clear" w:color="auto" w:fill="auto"/>
            <w:noWrap/>
            <w:vAlign w:val="bottom"/>
            <w:hideMark/>
          </w:tcPr>
          <w:p w14:paraId="0FBF9C41"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15.4%</w:t>
            </w:r>
          </w:p>
        </w:tc>
      </w:tr>
      <w:tr w:rsidR="00FD53BB" w:rsidRPr="00061823" w14:paraId="42274FC1" w14:textId="77777777" w:rsidTr="00FD53BB">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7E501063"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31</w:t>
            </w:r>
          </w:p>
        </w:tc>
        <w:tc>
          <w:tcPr>
            <w:tcW w:w="2203" w:type="dxa"/>
            <w:tcBorders>
              <w:top w:val="nil"/>
              <w:left w:val="nil"/>
              <w:bottom w:val="single" w:sz="4" w:space="0" w:color="auto"/>
              <w:right w:val="single" w:sz="4" w:space="0" w:color="auto"/>
            </w:tcBorders>
            <w:shd w:val="clear" w:color="auto" w:fill="auto"/>
            <w:noWrap/>
            <w:vAlign w:val="bottom"/>
            <w:hideMark/>
          </w:tcPr>
          <w:p w14:paraId="60919DC6" w14:textId="77777777" w:rsidR="00FD53BB" w:rsidRPr="00E25F61" w:rsidRDefault="00FD53BB" w:rsidP="00FD53BB">
            <w:pPr>
              <w:spacing w:before="0" w:after="0" w:line="240" w:lineRule="auto"/>
              <w:rPr>
                <w:rFonts w:eastAsia="Times New Roman" w:cstheme="minorHAnsi"/>
                <w:lang w:eastAsia="en-GB"/>
              </w:rPr>
            </w:pPr>
            <w:r w:rsidRPr="00E25F61">
              <w:rPr>
                <w:rFonts w:eastAsia="Times New Roman" w:cstheme="minorHAnsi"/>
                <w:lang w:eastAsia="en-GB"/>
              </w:rPr>
              <w:t>East Dunbartonshire</w:t>
            </w:r>
          </w:p>
        </w:tc>
        <w:tc>
          <w:tcPr>
            <w:tcW w:w="992" w:type="dxa"/>
            <w:tcBorders>
              <w:top w:val="nil"/>
              <w:left w:val="nil"/>
              <w:bottom w:val="single" w:sz="4" w:space="0" w:color="auto"/>
              <w:right w:val="single" w:sz="8" w:space="0" w:color="auto"/>
            </w:tcBorders>
            <w:shd w:val="clear" w:color="auto" w:fill="auto"/>
            <w:noWrap/>
            <w:vAlign w:val="bottom"/>
            <w:hideMark/>
          </w:tcPr>
          <w:p w14:paraId="4D5E9FDA"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14.9%</w:t>
            </w:r>
          </w:p>
        </w:tc>
      </w:tr>
      <w:tr w:rsidR="00FD53BB" w:rsidRPr="00061823" w14:paraId="78B8640D" w14:textId="77777777" w:rsidTr="00FD53BB">
        <w:trPr>
          <w:trHeight w:val="263"/>
        </w:trPr>
        <w:tc>
          <w:tcPr>
            <w:tcW w:w="882" w:type="dxa"/>
            <w:tcBorders>
              <w:top w:val="nil"/>
              <w:left w:val="single" w:sz="8" w:space="0" w:color="auto"/>
              <w:bottom w:val="single" w:sz="8" w:space="0" w:color="auto"/>
              <w:right w:val="single" w:sz="4" w:space="0" w:color="auto"/>
            </w:tcBorders>
            <w:shd w:val="clear" w:color="auto" w:fill="auto"/>
            <w:noWrap/>
            <w:vAlign w:val="bottom"/>
            <w:hideMark/>
          </w:tcPr>
          <w:p w14:paraId="792B659E"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32</w:t>
            </w:r>
          </w:p>
        </w:tc>
        <w:tc>
          <w:tcPr>
            <w:tcW w:w="2203" w:type="dxa"/>
            <w:tcBorders>
              <w:top w:val="nil"/>
              <w:left w:val="nil"/>
              <w:bottom w:val="single" w:sz="8" w:space="0" w:color="auto"/>
              <w:right w:val="single" w:sz="4" w:space="0" w:color="auto"/>
            </w:tcBorders>
            <w:shd w:val="clear" w:color="auto" w:fill="auto"/>
            <w:noWrap/>
            <w:vAlign w:val="bottom"/>
            <w:hideMark/>
          </w:tcPr>
          <w:p w14:paraId="10E65BAF" w14:textId="77777777" w:rsidR="00FD53BB" w:rsidRPr="00E25F61" w:rsidRDefault="00FD53BB" w:rsidP="00FD53BB">
            <w:pPr>
              <w:spacing w:before="0" w:after="0" w:line="240" w:lineRule="auto"/>
              <w:rPr>
                <w:rFonts w:eastAsia="Times New Roman" w:cstheme="minorHAnsi"/>
                <w:lang w:eastAsia="en-GB"/>
              </w:rPr>
            </w:pPr>
            <w:r w:rsidRPr="00E25F61">
              <w:rPr>
                <w:rFonts w:eastAsia="Times New Roman" w:cstheme="minorHAnsi"/>
                <w:lang w:eastAsia="en-GB"/>
              </w:rPr>
              <w:t>East Renfrewshire</w:t>
            </w:r>
          </w:p>
        </w:tc>
        <w:tc>
          <w:tcPr>
            <w:tcW w:w="992" w:type="dxa"/>
            <w:tcBorders>
              <w:top w:val="nil"/>
              <w:left w:val="nil"/>
              <w:bottom w:val="single" w:sz="8" w:space="0" w:color="auto"/>
              <w:right w:val="single" w:sz="8" w:space="0" w:color="auto"/>
            </w:tcBorders>
            <w:shd w:val="clear" w:color="auto" w:fill="auto"/>
            <w:noWrap/>
            <w:vAlign w:val="bottom"/>
            <w:hideMark/>
          </w:tcPr>
          <w:p w14:paraId="7057F0A9" w14:textId="77777777" w:rsidR="00FD53BB" w:rsidRPr="00E25F61" w:rsidRDefault="00FD53BB" w:rsidP="00FD53BB">
            <w:pPr>
              <w:spacing w:before="0" w:after="0" w:line="240" w:lineRule="auto"/>
              <w:jc w:val="center"/>
              <w:rPr>
                <w:rFonts w:eastAsia="Times New Roman" w:cstheme="minorHAnsi"/>
                <w:lang w:eastAsia="en-GB"/>
              </w:rPr>
            </w:pPr>
            <w:r w:rsidRPr="00E25F61">
              <w:rPr>
                <w:rFonts w:eastAsia="Times New Roman" w:cstheme="minorHAnsi"/>
                <w:lang w:eastAsia="en-GB"/>
              </w:rPr>
              <w:t>14.4%</w:t>
            </w:r>
          </w:p>
        </w:tc>
      </w:tr>
    </w:tbl>
    <w:p w14:paraId="1C4DA193" w14:textId="21219020" w:rsidR="00EB5973" w:rsidRDefault="00852512" w:rsidP="00A2425F">
      <w:r>
        <w:rPr>
          <w:noProof/>
        </w:rPr>
        <w:drawing>
          <wp:inline distT="0" distB="0" distL="0" distR="0" wp14:anchorId="1FA2E91A" wp14:editId="533B0204">
            <wp:extent cx="3651725" cy="3314040"/>
            <wp:effectExtent l="0" t="0" r="0" b="0"/>
            <wp:docPr id="453330235" name="Picture 3" descr="A map of scotland with blue shad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330235" name="Picture 3" descr="A map of scotland with blue shades&#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690225" cy="3348979"/>
                    </a:xfrm>
                    <a:prstGeom prst="rect">
                      <a:avLst/>
                    </a:prstGeom>
                  </pic:spPr>
                </pic:pic>
              </a:graphicData>
            </a:graphic>
          </wp:inline>
        </w:drawing>
      </w:r>
    </w:p>
    <w:p w14:paraId="7D515ECB" w14:textId="77777777" w:rsidR="00A2425F" w:rsidRDefault="00A2425F" w:rsidP="00A2425F"/>
    <w:p w14:paraId="235A8D5F" w14:textId="77777777" w:rsidR="00852512" w:rsidRDefault="00852512"/>
    <w:p w14:paraId="46F711EC" w14:textId="77777777" w:rsidR="00852512" w:rsidRDefault="00852512"/>
    <w:p w14:paraId="70D8FE67" w14:textId="77777777" w:rsidR="00852512" w:rsidRDefault="00852512"/>
    <w:p w14:paraId="6440D1CA" w14:textId="77777777" w:rsidR="00852512" w:rsidRDefault="00852512"/>
    <w:p w14:paraId="2A3C70DA" w14:textId="77777777" w:rsidR="00FD53BB" w:rsidRDefault="00FD53BB">
      <w:r>
        <w:rPr>
          <w:b/>
          <w:bCs/>
        </w:rPr>
        <w:br w:type="page"/>
      </w:r>
    </w:p>
    <w:p w14:paraId="5D12AE18" w14:textId="75A922A5" w:rsidR="00852512" w:rsidRDefault="00852512" w:rsidP="00B65922">
      <w:pPr>
        <w:pStyle w:val="Caption"/>
        <w:keepNext/>
        <w:spacing w:after="0"/>
        <w:rPr>
          <w:b w:val="0"/>
          <w:bCs w:val="0"/>
          <w:color w:val="auto"/>
          <w:sz w:val="20"/>
          <w:szCs w:val="20"/>
        </w:rPr>
      </w:pPr>
      <w:r w:rsidRPr="00CA3F01">
        <w:rPr>
          <w:color w:val="0070C0"/>
          <w:sz w:val="20"/>
          <w:szCs w:val="20"/>
        </w:rPr>
        <w:lastRenderedPageBreak/>
        <w:t>Figure 6</w:t>
      </w:r>
      <w:r w:rsidRPr="001D7229">
        <w:rPr>
          <w:b w:val="0"/>
          <w:bCs w:val="0"/>
          <w:color w:val="auto"/>
          <w:sz w:val="20"/>
          <w:szCs w:val="20"/>
        </w:rPr>
        <w:t xml:space="preserve"> shows how child poverty levels</w:t>
      </w:r>
      <w:r>
        <w:rPr>
          <w:b w:val="0"/>
          <w:bCs w:val="0"/>
          <w:color w:val="auto"/>
          <w:sz w:val="20"/>
          <w:szCs w:val="20"/>
        </w:rPr>
        <w:t xml:space="preserve"> in Scotland</w:t>
      </w:r>
      <w:r w:rsidRPr="001D7229">
        <w:rPr>
          <w:b w:val="0"/>
          <w:bCs w:val="0"/>
          <w:color w:val="auto"/>
          <w:sz w:val="20"/>
          <w:szCs w:val="20"/>
        </w:rPr>
        <w:t xml:space="preserve"> have changed between 2014 and 2022 </w:t>
      </w:r>
      <w:r>
        <w:rPr>
          <w:b w:val="0"/>
          <w:bCs w:val="0"/>
          <w:color w:val="auto"/>
          <w:sz w:val="20"/>
          <w:szCs w:val="20"/>
        </w:rPr>
        <w:t>for Local Authorities</w:t>
      </w:r>
      <w:r w:rsidRPr="001D7229">
        <w:rPr>
          <w:b w:val="0"/>
          <w:bCs w:val="0"/>
          <w:color w:val="auto"/>
          <w:sz w:val="20"/>
          <w:szCs w:val="20"/>
        </w:rPr>
        <w:t>.</w:t>
      </w:r>
      <w:r>
        <w:rPr>
          <w:b w:val="0"/>
          <w:bCs w:val="0"/>
          <w:color w:val="auto"/>
          <w:sz w:val="20"/>
          <w:szCs w:val="20"/>
        </w:rPr>
        <w:t xml:space="preserve"> Moray has witnessed the 8</w:t>
      </w:r>
      <w:r w:rsidRPr="00307FCB">
        <w:rPr>
          <w:b w:val="0"/>
          <w:bCs w:val="0"/>
          <w:color w:val="auto"/>
          <w:sz w:val="20"/>
          <w:szCs w:val="20"/>
          <w:vertAlign w:val="superscript"/>
        </w:rPr>
        <w:t>th</w:t>
      </w:r>
      <w:r>
        <w:rPr>
          <w:b w:val="0"/>
          <w:bCs w:val="0"/>
          <w:color w:val="auto"/>
          <w:sz w:val="20"/>
          <w:szCs w:val="20"/>
        </w:rPr>
        <w:t xml:space="preserve"> highest increase over this period. </w:t>
      </w:r>
      <w:proofErr w:type="gramStart"/>
      <w:r>
        <w:rPr>
          <w:b w:val="0"/>
          <w:bCs w:val="0"/>
          <w:color w:val="auto"/>
          <w:sz w:val="20"/>
          <w:szCs w:val="20"/>
        </w:rPr>
        <w:t>With the exception of</w:t>
      </w:r>
      <w:proofErr w:type="gramEnd"/>
      <w:r>
        <w:rPr>
          <w:b w:val="0"/>
          <w:bCs w:val="0"/>
          <w:color w:val="auto"/>
          <w:sz w:val="20"/>
          <w:szCs w:val="20"/>
        </w:rPr>
        <w:t xml:space="preserve"> Dundee City all other authorities with higher increases are within the central belt.</w:t>
      </w:r>
    </w:p>
    <w:p w14:paraId="04C705A7" w14:textId="47395E6D" w:rsidR="00FD53BB" w:rsidRDefault="006171B0" w:rsidP="00FD53BB">
      <w:r>
        <w:rPr>
          <w:noProof/>
        </w:rPr>
        <w:drawing>
          <wp:anchor distT="0" distB="0" distL="114300" distR="114300" simplePos="0" relativeHeight="251668992" behindDoc="0" locked="0" layoutInCell="1" allowOverlap="1" wp14:anchorId="4F68FE37" wp14:editId="3679FB52">
            <wp:simplePos x="0" y="0"/>
            <wp:positionH relativeFrom="column">
              <wp:posOffset>944</wp:posOffset>
            </wp:positionH>
            <wp:positionV relativeFrom="paragraph">
              <wp:posOffset>341836</wp:posOffset>
            </wp:positionV>
            <wp:extent cx="3653155" cy="3039110"/>
            <wp:effectExtent l="0" t="0" r="0" b="0"/>
            <wp:wrapNone/>
            <wp:docPr id="1977430516" name="Picture 4" descr="A map of scotland with blue shad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430516" name="Picture 4" descr="A map of scotland with blue shades&#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3653155" cy="3039110"/>
                    </a:xfrm>
                    <a:prstGeom prst="rect">
                      <a:avLst/>
                    </a:prstGeom>
                  </pic:spPr>
                </pic:pic>
              </a:graphicData>
            </a:graphic>
            <wp14:sizeRelH relativeFrom="page">
              <wp14:pctWidth>0</wp14:pctWidth>
            </wp14:sizeRelH>
            <wp14:sizeRelV relativeFrom="page">
              <wp14:pctHeight>0</wp14:pctHeight>
            </wp14:sizeRelV>
          </wp:anchor>
        </w:drawing>
      </w:r>
      <w:r w:rsidR="00DF2D01">
        <w:rPr>
          <w:noProof/>
        </w:rPr>
        <mc:AlternateContent>
          <mc:Choice Requires="wps">
            <w:drawing>
              <wp:anchor distT="0" distB="0" distL="114300" distR="114300" simplePos="0" relativeHeight="251665408" behindDoc="0" locked="0" layoutInCell="1" allowOverlap="1" wp14:anchorId="30F66CF5" wp14:editId="481E2334">
                <wp:simplePos x="0" y="0"/>
                <wp:positionH relativeFrom="column">
                  <wp:posOffset>-1270</wp:posOffset>
                </wp:positionH>
                <wp:positionV relativeFrom="paragraph">
                  <wp:posOffset>153035</wp:posOffset>
                </wp:positionV>
                <wp:extent cx="4006215" cy="161290"/>
                <wp:effectExtent l="4445" t="0" r="0" b="635"/>
                <wp:wrapSquare wrapText="bothSides"/>
                <wp:docPr id="7828970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215"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BEB2B1" w14:textId="615225FD" w:rsidR="00B65922" w:rsidRPr="0057245C" w:rsidRDefault="00B65922" w:rsidP="00B65922">
                            <w:pPr>
                              <w:pStyle w:val="Caption"/>
                              <w:spacing w:before="0" w:after="0"/>
                              <w:rPr>
                                <w:noProof/>
                                <w:sz w:val="20"/>
                                <w:szCs w:val="20"/>
                              </w:rPr>
                            </w:pPr>
                            <w:r>
                              <w:t xml:space="preserve">Figure 6 - </w:t>
                            </w:r>
                            <w:r w:rsidRPr="00B07622">
                              <w:t>Moray vs All Scottish Local Authorities (% Poverty)</w:t>
                            </w:r>
                            <w:r>
                              <w:t xml:space="preserve"> (Change in poverty 2014-22)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66CF5" id="Text Box 14" o:spid="_x0000_s1027" type="#_x0000_t202" style="position:absolute;margin-left:-.1pt;margin-top:12.05pt;width:315.45pt;height:1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" stroked="f">
                <v:textbox inset="0,0,0,0">
                  <w:txbxContent>
                    <w:p w14:paraId="78BEB2B1" w14:textId="615225FD" w:rsidR="00B65922" w:rsidRPr="0057245C" w:rsidRDefault="00B65922" w:rsidP="00B65922">
                      <w:pPr>
                        <w:pStyle w:val="Caption"/>
                        <w:spacing w:before="0" w:after="0"/>
                        <w:rPr>
                          <w:noProof/>
                          <w:sz w:val="20"/>
                          <w:szCs w:val="20"/>
                        </w:rPr>
                      </w:pPr>
                      <w:r>
                        <w:t xml:space="preserve">Figure 6 - </w:t>
                      </w:r>
                      <w:r w:rsidRPr="00B07622">
                        <w:t>Moray vs All Scottish Local Authorities (% Poverty)</w:t>
                      </w:r>
                      <w:r>
                        <w:t xml:space="preserve"> (Change in poverty 2014-22)</w:t>
                      </w:r>
                    </w:p>
                  </w:txbxContent>
                </v:textbox>
                <w10:wrap type="square"/>
              </v:shape>
            </w:pict>
          </mc:Fallback>
        </mc:AlternateContent>
      </w:r>
    </w:p>
    <w:tbl>
      <w:tblPr>
        <w:tblpPr w:leftFromText="180" w:rightFromText="180" w:vertAnchor="text" w:horzAnchor="page" w:tblpX="7268" w:tblpY="-66"/>
        <w:tblW w:w="4077" w:type="dxa"/>
        <w:tblLook w:val="04A0" w:firstRow="1" w:lastRow="0" w:firstColumn="1" w:lastColumn="0" w:noHBand="0" w:noVBand="1"/>
      </w:tblPr>
      <w:tblGrid>
        <w:gridCol w:w="882"/>
        <w:gridCol w:w="2203"/>
        <w:gridCol w:w="992"/>
      </w:tblGrid>
      <w:tr w:rsidR="006171B0" w:rsidRPr="00AF353B" w14:paraId="28FFB5DA" w14:textId="77777777" w:rsidTr="006171B0">
        <w:trPr>
          <w:trHeight w:val="263"/>
        </w:trPr>
        <w:tc>
          <w:tcPr>
            <w:tcW w:w="882" w:type="dxa"/>
            <w:tcBorders>
              <w:top w:val="single" w:sz="8" w:space="0" w:color="auto"/>
              <w:left w:val="single" w:sz="8" w:space="0" w:color="auto"/>
              <w:bottom w:val="single" w:sz="4" w:space="0" w:color="auto"/>
              <w:right w:val="single" w:sz="4" w:space="0" w:color="auto"/>
            </w:tcBorders>
            <w:shd w:val="clear" w:color="000000" w:fill="000000"/>
            <w:noWrap/>
            <w:vAlign w:val="bottom"/>
            <w:hideMark/>
          </w:tcPr>
          <w:p w14:paraId="1AEC8820" w14:textId="77777777" w:rsidR="006171B0" w:rsidRPr="00E25F61" w:rsidRDefault="006171B0" w:rsidP="006171B0">
            <w:pPr>
              <w:spacing w:before="0" w:after="0" w:line="240" w:lineRule="auto"/>
              <w:jc w:val="center"/>
              <w:rPr>
                <w:rFonts w:eastAsia="Times New Roman" w:cstheme="minorHAnsi"/>
                <w:b/>
                <w:bCs/>
                <w:color w:val="FFFFFF"/>
                <w:lang w:eastAsia="en-GB"/>
              </w:rPr>
            </w:pPr>
            <w:r w:rsidRPr="00E25F61">
              <w:rPr>
                <w:rFonts w:eastAsia="Times New Roman" w:cstheme="minorHAnsi"/>
                <w:b/>
                <w:bCs/>
                <w:color w:val="FFFFFF"/>
                <w:lang w:eastAsia="en-GB"/>
              </w:rPr>
              <w:t>Ranking</w:t>
            </w:r>
          </w:p>
        </w:tc>
        <w:tc>
          <w:tcPr>
            <w:tcW w:w="2203" w:type="dxa"/>
            <w:tcBorders>
              <w:top w:val="single" w:sz="8" w:space="0" w:color="auto"/>
              <w:left w:val="nil"/>
              <w:bottom w:val="single" w:sz="4" w:space="0" w:color="auto"/>
              <w:right w:val="single" w:sz="4" w:space="0" w:color="auto"/>
            </w:tcBorders>
            <w:shd w:val="clear" w:color="000000" w:fill="000000"/>
            <w:noWrap/>
            <w:vAlign w:val="bottom"/>
            <w:hideMark/>
          </w:tcPr>
          <w:p w14:paraId="7F2EE8D2" w14:textId="77777777" w:rsidR="006171B0" w:rsidRPr="00E25F61" w:rsidRDefault="006171B0" w:rsidP="006171B0">
            <w:pPr>
              <w:spacing w:before="0" w:after="0" w:line="240" w:lineRule="auto"/>
              <w:rPr>
                <w:rFonts w:eastAsia="Times New Roman" w:cstheme="minorHAnsi"/>
                <w:b/>
                <w:bCs/>
                <w:color w:val="FFFFFF"/>
                <w:lang w:eastAsia="en-GB"/>
              </w:rPr>
            </w:pPr>
            <w:r w:rsidRPr="00E25F61">
              <w:rPr>
                <w:rFonts w:eastAsia="Times New Roman" w:cstheme="minorHAnsi"/>
                <w:b/>
                <w:bCs/>
                <w:color w:val="FFFFFF"/>
                <w:lang w:eastAsia="en-GB"/>
              </w:rPr>
              <w:t>Scotland</w:t>
            </w:r>
          </w:p>
        </w:tc>
        <w:tc>
          <w:tcPr>
            <w:tcW w:w="992" w:type="dxa"/>
            <w:tcBorders>
              <w:top w:val="single" w:sz="8" w:space="0" w:color="auto"/>
              <w:left w:val="nil"/>
              <w:bottom w:val="single" w:sz="4" w:space="0" w:color="auto"/>
              <w:right w:val="single" w:sz="8" w:space="0" w:color="auto"/>
            </w:tcBorders>
            <w:shd w:val="clear" w:color="000000" w:fill="000000"/>
            <w:noWrap/>
            <w:vAlign w:val="bottom"/>
            <w:hideMark/>
          </w:tcPr>
          <w:p w14:paraId="45A6BF25" w14:textId="77777777" w:rsidR="006171B0" w:rsidRPr="00E25F61" w:rsidRDefault="006171B0" w:rsidP="006171B0">
            <w:pPr>
              <w:spacing w:before="0" w:after="0" w:line="240" w:lineRule="auto"/>
              <w:jc w:val="center"/>
              <w:rPr>
                <w:rFonts w:eastAsia="Times New Roman" w:cstheme="minorHAnsi"/>
                <w:b/>
                <w:bCs/>
                <w:color w:val="FFFFFF"/>
                <w:lang w:eastAsia="en-GB"/>
              </w:rPr>
            </w:pPr>
            <w:r w:rsidRPr="00E25F61">
              <w:rPr>
                <w:rFonts w:eastAsia="Times New Roman" w:cstheme="minorHAnsi"/>
                <w:b/>
                <w:bCs/>
                <w:color w:val="FFFFFF"/>
                <w:lang w:eastAsia="en-GB"/>
              </w:rPr>
              <w:t>2.9%</w:t>
            </w:r>
          </w:p>
        </w:tc>
      </w:tr>
      <w:tr w:rsidR="006171B0" w:rsidRPr="00AF353B" w14:paraId="112FB494" w14:textId="77777777" w:rsidTr="006171B0">
        <w:trPr>
          <w:trHeight w:val="263"/>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74F023A4"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1</w:t>
            </w:r>
          </w:p>
        </w:tc>
        <w:tc>
          <w:tcPr>
            <w:tcW w:w="2203" w:type="dxa"/>
            <w:tcBorders>
              <w:top w:val="nil"/>
              <w:left w:val="nil"/>
              <w:bottom w:val="single" w:sz="4" w:space="0" w:color="auto"/>
              <w:right w:val="single" w:sz="4" w:space="0" w:color="auto"/>
            </w:tcBorders>
            <w:shd w:val="clear" w:color="auto" w:fill="auto"/>
            <w:noWrap/>
            <w:vAlign w:val="bottom"/>
            <w:hideMark/>
          </w:tcPr>
          <w:p w14:paraId="3B94344D" w14:textId="77777777" w:rsidR="006171B0" w:rsidRPr="00E25F61" w:rsidRDefault="006171B0" w:rsidP="006171B0">
            <w:pPr>
              <w:spacing w:before="0" w:after="0" w:line="240" w:lineRule="auto"/>
              <w:rPr>
                <w:rFonts w:eastAsia="Times New Roman" w:cstheme="minorHAnsi"/>
                <w:lang w:eastAsia="en-GB"/>
              </w:rPr>
            </w:pPr>
            <w:r w:rsidRPr="00E25F61">
              <w:rPr>
                <w:rFonts w:eastAsia="Times New Roman" w:cstheme="minorHAnsi"/>
                <w:lang w:eastAsia="en-GB"/>
              </w:rPr>
              <w:t>Glasgow City</w:t>
            </w:r>
          </w:p>
        </w:tc>
        <w:tc>
          <w:tcPr>
            <w:tcW w:w="992" w:type="dxa"/>
            <w:tcBorders>
              <w:top w:val="nil"/>
              <w:left w:val="nil"/>
              <w:bottom w:val="single" w:sz="4" w:space="0" w:color="auto"/>
              <w:right w:val="single" w:sz="8" w:space="0" w:color="auto"/>
            </w:tcBorders>
            <w:shd w:val="clear" w:color="auto" w:fill="auto"/>
            <w:noWrap/>
            <w:vAlign w:val="bottom"/>
            <w:hideMark/>
          </w:tcPr>
          <w:p w14:paraId="3FA75333"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4.9%</w:t>
            </w:r>
          </w:p>
        </w:tc>
      </w:tr>
      <w:tr w:rsidR="006171B0" w:rsidRPr="00AF353B" w14:paraId="400DEA59" w14:textId="77777777" w:rsidTr="006171B0">
        <w:trPr>
          <w:trHeight w:val="263"/>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6E2F5E91"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2</w:t>
            </w:r>
          </w:p>
        </w:tc>
        <w:tc>
          <w:tcPr>
            <w:tcW w:w="2203" w:type="dxa"/>
            <w:tcBorders>
              <w:top w:val="nil"/>
              <w:left w:val="nil"/>
              <w:bottom w:val="single" w:sz="4" w:space="0" w:color="auto"/>
              <w:right w:val="single" w:sz="4" w:space="0" w:color="auto"/>
            </w:tcBorders>
            <w:shd w:val="clear" w:color="auto" w:fill="auto"/>
            <w:noWrap/>
            <w:vAlign w:val="bottom"/>
            <w:hideMark/>
          </w:tcPr>
          <w:p w14:paraId="2A4BC17C" w14:textId="77777777" w:rsidR="006171B0" w:rsidRPr="00E25F61" w:rsidRDefault="006171B0" w:rsidP="006171B0">
            <w:pPr>
              <w:spacing w:before="0" w:after="0" w:line="240" w:lineRule="auto"/>
              <w:rPr>
                <w:rFonts w:eastAsia="Times New Roman" w:cstheme="minorHAnsi"/>
                <w:lang w:eastAsia="en-GB"/>
              </w:rPr>
            </w:pPr>
            <w:r w:rsidRPr="00E25F61">
              <w:rPr>
                <w:rFonts w:eastAsia="Times New Roman" w:cstheme="minorHAnsi"/>
                <w:lang w:eastAsia="en-GB"/>
              </w:rPr>
              <w:t>West Dunbartonshire</w:t>
            </w:r>
          </w:p>
        </w:tc>
        <w:tc>
          <w:tcPr>
            <w:tcW w:w="992" w:type="dxa"/>
            <w:tcBorders>
              <w:top w:val="nil"/>
              <w:left w:val="nil"/>
              <w:bottom w:val="single" w:sz="4" w:space="0" w:color="auto"/>
              <w:right w:val="single" w:sz="8" w:space="0" w:color="auto"/>
            </w:tcBorders>
            <w:shd w:val="clear" w:color="auto" w:fill="auto"/>
            <w:noWrap/>
            <w:vAlign w:val="bottom"/>
            <w:hideMark/>
          </w:tcPr>
          <w:p w14:paraId="374A7F99"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4.2%</w:t>
            </w:r>
          </w:p>
        </w:tc>
      </w:tr>
      <w:tr w:rsidR="006171B0" w:rsidRPr="00AF353B" w14:paraId="21E14D94" w14:textId="77777777" w:rsidTr="006171B0">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70E42308"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3</w:t>
            </w:r>
          </w:p>
        </w:tc>
        <w:tc>
          <w:tcPr>
            <w:tcW w:w="2203" w:type="dxa"/>
            <w:tcBorders>
              <w:top w:val="nil"/>
              <w:left w:val="nil"/>
              <w:bottom w:val="single" w:sz="4" w:space="0" w:color="auto"/>
              <w:right w:val="single" w:sz="4" w:space="0" w:color="auto"/>
            </w:tcBorders>
            <w:shd w:val="clear" w:color="auto" w:fill="auto"/>
            <w:noWrap/>
            <w:vAlign w:val="bottom"/>
            <w:hideMark/>
          </w:tcPr>
          <w:p w14:paraId="7B20EDC7" w14:textId="77777777" w:rsidR="006171B0" w:rsidRPr="00E25F61" w:rsidRDefault="006171B0" w:rsidP="006171B0">
            <w:pPr>
              <w:spacing w:before="0" w:after="0" w:line="240" w:lineRule="auto"/>
              <w:rPr>
                <w:rFonts w:eastAsia="Times New Roman" w:cstheme="minorHAnsi"/>
                <w:lang w:eastAsia="en-GB"/>
              </w:rPr>
            </w:pPr>
            <w:r w:rsidRPr="00E25F61">
              <w:rPr>
                <w:rFonts w:eastAsia="Times New Roman" w:cstheme="minorHAnsi"/>
                <w:lang w:eastAsia="en-GB"/>
              </w:rPr>
              <w:t>North Ayrshire</w:t>
            </w:r>
          </w:p>
        </w:tc>
        <w:tc>
          <w:tcPr>
            <w:tcW w:w="992" w:type="dxa"/>
            <w:tcBorders>
              <w:top w:val="nil"/>
              <w:left w:val="nil"/>
              <w:bottom w:val="single" w:sz="4" w:space="0" w:color="auto"/>
              <w:right w:val="single" w:sz="8" w:space="0" w:color="auto"/>
            </w:tcBorders>
            <w:shd w:val="clear" w:color="auto" w:fill="auto"/>
            <w:noWrap/>
            <w:vAlign w:val="bottom"/>
            <w:hideMark/>
          </w:tcPr>
          <w:p w14:paraId="394EDF82"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4.2%</w:t>
            </w:r>
          </w:p>
        </w:tc>
      </w:tr>
      <w:tr w:rsidR="006171B0" w:rsidRPr="00AF353B" w14:paraId="766643EA" w14:textId="77777777" w:rsidTr="006171B0">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5B69E7F4"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4</w:t>
            </w:r>
          </w:p>
        </w:tc>
        <w:tc>
          <w:tcPr>
            <w:tcW w:w="2203" w:type="dxa"/>
            <w:tcBorders>
              <w:top w:val="nil"/>
              <w:left w:val="nil"/>
              <w:bottom w:val="single" w:sz="4" w:space="0" w:color="auto"/>
              <w:right w:val="single" w:sz="4" w:space="0" w:color="auto"/>
            </w:tcBorders>
            <w:shd w:val="clear" w:color="auto" w:fill="auto"/>
            <w:noWrap/>
            <w:vAlign w:val="bottom"/>
            <w:hideMark/>
          </w:tcPr>
          <w:p w14:paraId="08F45688" w14:textId="77777777" w:rsidR="006171B0" w:rsidRPr="00E25F61" w:rsidRDefault="006171B0" w:rsidP="006171B0">
            <w:pPr>
              <w:spacing w:before="0" w:after="0" w:line="240" w:lineRule="auto"/>
              <w:rPr>
                <w:rFonts w:eastAsia="Times New Roman" w:cstheme="minorHAnsi"/>
                <w:lang w:eastAsia="en-GB"/>
              </w:rPr>
            </w:pPr>
            <w:r w:rsidRPr="00E25F61">
              <w:rPr>
                <w:rFonts w:eastAsia="Times New Roman" w:cstheme="minorHAnsi"/>
                <w:lang w:eastAsia="en-GB"/>
              </w:rPr>
              <w:t>Clackmannanshire</w:t>
            </w:r>
          </w:p>
        </w:tc>
        <w:tc>
          <w:tcPr>
            <w:tcW w:w="992" w:type="dxa"/>
            <w:tcBorders>
              <w:top w:val="nil"/>
              <w:left w:val="nil"/>
              <w:bottom w:val="single" w:sz="4" w:space="0" w:color="auto"/>
              <w:right w:val="single" w:sz="8" w:space="0" w:color="auto"/>
            </w:tcBorders>
            <w:shd w:val="clear" w:color="auto" w:fill="auto"/>
            <w:noWrap/>
            <w:vAlign w:val="bottom"/>
            <w:hideMark/>
          </w:tcPr>
          <w:p w14:paraId="20A85F8C"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4.1%</w:t>
            </w:r>
          </w:p>
        </w:tc>
      </w:tr>
      <w:tr w:rsidR="006171B0" w:rsidRPr="00AF353B" w14:paraId="15B9A734" w14:textId="77777777" w:rsidTr="006171B0">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4C4861D7"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5</w:t>
            </w:r>
          </w:p>
        </w:tc>
        <w:tc>
          <w:tcPr>
            <w:tcW w:w="2203" w:type="dxa"/>
            <w:tcBorders>
              <w:top w:val="nil"/>
              <w:left w:val="nil"/>
              <w:bottom w:val="single" w:sz="4" w:space="0" w:color="auto"/>
              <w:right w:val="single" w:sz="4" w:space="0" w:color="auto"/>
            </w:tcBorders>
            <w:shd w:val="clear" w:color="auto" w:fill="auto"/>
            <w:noWrap/>
            <w:vAlign w:val="bottom"/>
            <w:hideMark/>
          </w:tcPr>
          <w:p w14:paraId="0FDE5C6F" w14:textId="77777777" w:rsidR="006171B0" w:rsidRPr="00E25F61" w:rsidRDefault="006171B0" w:rsidP="006171B0">
            <w:pPr>
              <w:spacing w:before="0" w:after="0" w:line="240" w:lineRule="auto"/>
              <w:rPr>
                <w:rFonts w:eastAsia="Times New Roman" w:cstheme="minorHAnsi"/>
                <w:lang w:eastAsia="en-GB"/>
              </w:rPr>
            </w:pPr>
            <w:r w:rsidRPr="00E25F61">
              <w:rPr>
                <w:rFonts w:eastAsia="Times New Roman" w:cstheme="minorHAnsi"/>
                <w:lang w:eastAsia="en-GB"/>
              </w:rPr>
              <w:t>Renfrewshire</w:t>
            </w:r>
          </w:p>
        </w:tc>
        <w:tc>
          <w:tcPr>
            <w:tcW w:w="992" w:type="dxa"/>
            <w:tcBorders>
              <w:top w:val="nil"/>
              <w:left w:val="nil"/>
              <w:bottom w:val="single" w:sz="4" w:space="0" w:color="auto"/>
              <w:right w:val="single" w:sz="8" w:space="0" w:color="auto"/>
            </w:tcBorders>
            <w:shd w:val="clear" w:color="auto" w:fill="auto"/>
            <w:noWrap/>
            <w:vAlign w:val="bottom"/>
            <w:hideMark/>
          </w:tcPr>
          <w:p w14:paraId="608CD44E"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4.0%</w:t>
            </w:r>
          </w:p>
        </w:tc>
      </w:tr>
      <w:tr w:rsidR="006171B0" w:rsidRPr="00AF353B" w14:paraId="3EFE79AE" w14:textId="77777777" w:rsidTr="006171B0">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0E503AD4"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6</w:t>
            </w:r>
          </w:p>
        </w:tc>
        <w:tc>
          <w:tcPr>
            <w:tcW w:w="2203" w:type="dxa"/>
            <w:tcBorders>
              <w:top w:val="nil"/>
              <w:left w:val="nil"/>
              <w:bottom w:val="single" w:sz="4" w:space="0" w:color="auto"/>
              <w:right w:val="single" w:sz="4" w:space="0" w:color="auto"/>
            </w:tcBorders>
            <w:shd w:val="clear" w:color="auto" w:fill="auto"/>
            <w:noWrap/>
            <w:vAlign w:val="bottom"/>
            <w:hideMark/>
          </w:tcPr>
          <w:p w14:paraId="36ED8EB0" w14:textId="77777777" w:rsidR="006171B0" w:rsidRPr="00E25F61" w:rsidRDefault="006171B0" w:rsidP="006171B0">
            <w:pPr>
              <w:spacing w:before="0" w:after="0" w:line="240" w:lineRule="auto"/>
              <w:rPr>
                <w:rFonts w:eastAsia="Times New Roman" w:cstheme="minorHAnsi"/>
                <w:lang w:eastAsia="en-GB"/>
              </w:rPr>
            </w:pPr>
            <w:r w:rsidRPr="00E25F61">
              <w:rPr>
                <w:rFonts w:eastAsia="Times New Roman" w:cstheme="minorHAnsi"/>
                <w:lang w:eastAsia="en-GB"/>
              </w:rPr>
              <w:t>Inverclyde</w:t>
            </w:r>
          </w:p>
        </w:tc>
        <w:tc>
          <w:tcPr>
            <w:tcW w:w="992" w:type="dxa"/>
            <w:tcBorders>
              <w:top w:val="nil"/>
              <w:left w:val="nil"/>
              <w:bottom w:val="single" w:sz="4" w:space="0" w:color="auto"/>
              <w:right w:val="single" w:sz="8" w:space="0" w:color="auto"/>
            </w:tcBorders>
            <w:shd w:val="clear" w:color="auto" w:fill="auto"/>
            <w:noWrap/>
            <w:vAlign w:val="bottom"/>
            <w:hideMark/>
          </w:tcPr>
          <w:p w14:paraId="5287CE34"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3.5%</w:t>
            </w:r>
          </w:p>
        </w:tc>
      </w:tr>
      <w:tr w:rsidR="006171B0" w:rsidRPr="00AF353B" w14:paraId="518BF733" w14:textId="77777777" w:rsidTr="006171B0">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438EEB6B"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7</w:t>
            </w:r>
          </w:p>
        </w:tc>
        <w:tc>
          <w:tcPr>
            <w:tcW w:w="2203" w:type="dxa"/>
            <w:tcBorders>
              <w:top w:val="nil"/>
              <w:left w:val="nil"/>
              <w:bottom w:val="single" w:sz="4" w:space="0" w:color="auto"/>
              <w:right w:val="single" w:sz="4" w:space="0" w:color="auto"/>
            </w:tcBorders>
            <w:shd w:val="clear" w:color="auto" w:fill="auto"/>
            <w:noWrap/>
            <w:vAlign w:val="bottom"/>
            <w:hideMark/>
          </w:tcPr>
          <w:p w14:paraId="5CEA2E3A" w14:textId="77777777" w:rsidR="006171B0" w:rsidRPr="00E25F61" w:rsidRDefault="006171B0" w:rsidP="006171B0">
            <w:pPr>
              <w:spacing w:before="0" w:after="0" w:line="240" w:lineRule="auto"/>
              <w:rPr>
                <w:rFonts w:eastAsia="Times New Roman" w:cstheme="minorHAnsi"/>
                <w:lang w:eastAsia="en-GB"/>
              </w:rPr>
            </w:pPr>
            <w:r w:rsidRPr="00E25F61">
              <w:rPr>
                <w:rFonts w:eastAsia="Times New Roman" w:cstheme="minorHAnsi"/>
                <w:lang w:eastAsia="en-GB"/>
              </w:rPr>
              <w:t>Dundee City</w:t>
            </w:r>
          </w:p>
        </w:tc>
        <w:tc>
          <w:tcPr>
            <w:tcW w:w="992" w:type="dxa"/>
            <w:tcBorders>
              <w:top w:val="nil"/>
              <w:left w:val="nil"/>
              <w:bottom w:val="single" w:sz="4" w:space="0" w:color="auto"/>
              <w:right w:val="single" w:sz="8" w:space="0" w:color="auto"/>
            </w:tcBorders>
            <w:shd w:val="clear" w:color="auto" w:fill="auto"/>
            <w:noWrap/>
            <w:vAlign w:val="bottom"/>
            <w:hideMark/>
          </w:tcPr>
          <w:p w14:paraId="1EFC566B"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3.3%</w:t>
            </w:r>
          </w:p>
        </w:tc>
      </w:tr>
      <w:tr w:rsidR="006171B0" w:rsidRPr="00AF353B" w14:paraId="3E92365D" w14:textId="77777777" w:rsidTr="006171B0">
        <w:trPr>
          <w:trHeight w:val="270"/>
        </w:trPr>
        <w:tc>
          <w:tcPr>
            <w:tcW w:w="882" w:type="dxa"/>
            <w:tcBorders>
              <w:top w:val="nil"/>
              <w:left w:val="single" w:sz="8" w:space="0" w:color="auto"/>
              <w:bottom w:val="single" w:sz="4" w:space="0" w:color="auto"/>
              <w:right w:val="single" w:sz="4" w:space="0" w:color="auto"/>
            </w:tcBorders>
            <w:shd w:val="clear" w:color="000000" w:fill="FCE4D6"/>
            <w:noWrap/>
            <w:vAlign w:val="bottom"/>
            <w:hideMark/>
          </w:tcPr>
          <w:p w14:paraId="01973F71" w14:textId="77777777" w:rsidR="006171B0" w:rsidRPr="00E25F61" w:rsidRDefault="006171B0" w:rsidP="006171B0">
            <w:pPr>
              <w:spacing w:before="0" w:after="0" w:line="240" w:lineRule="auto"/>
              <w:jc w:val="center"/>
              <w:rPr>
                <w:rFonts w:eastAsia="Times New Roman" w:cstheme="minorHAnsi"/>
                <w:b/>
                <w:bCs/>
                <w:lang w:eastAsia="en-GB"/>
              </w:rPr>
            </w:pPr>
            <w:r w:rsidRPr="00E25F61">
              <w:rPr>
                <w:rFonts w:eastAsia="Times New Roman" w:cstheme="minorHAnsi"/>
                <w:b/>
                <w:bCs/>
                <w:lang w:eastAsia="en-GB"/>
              </w:rPr>
              <w:t>8</w:t>
            </w:r>
          </w:p>
        </w:tc>
        <w:tc>
          <w:tcPr>
            <w:tcW w:w="2203" w:type="dxa"/>
            <w:tcBorders>
              <w:top w:val="nil"/>
              <w:left w:val="nil"/>
              <w:bottom w:val="single" w:sz="4" w:space="0" w:color="auto"/>
              <w:right w:val="single" w:sz="4" w:space="0" w:color="auto"/>
            </w:tcBorders>
            <w:shd w:val="clear" w:color="000000" w:fill="FCE4D6"/>
            <w:noWrap/>
            <w:vAlign w:val="bottom"/>
            <w:hideMark/>
          </w:tcPr>
          <w:p w14:paraId="22697259" w14:textId="77777777" w:rsidR="006171B0" w:rsidRPr="00E25F61" w:rsidRDefault="006171B0" w:rsidP="006171B0">
            <w:pPr>
              <w:spacing w:before="0" w:after="0" w:line="240" w:lineRule="auto"/>
              <w:rPr>
                <w:rFonts w:eastAsia="Times New Roman" w:cstheme="minorHAnsi"/>
                <w:b/>
                <w:bCs/>
                <w:lang w:eastAsia="en-GB"/>
              </w:rPr>
            </w:pPr>
            <w:r w:rsidRPr="00E25F61">
              <w:rPr>
                <w:rFonts w:eastAsia="Times New Roman" w:cstheme="minorHAnsi"/>
                <w:b/>
                <w:bCs/>
                <w:lang w:eastAsia="en-GB"/>
              </w:rPr>
              <w:t>Moray</w:t>
            </w:r>
          </w:p>
        </w:tc>
        <w:tc>
          <w:tcPr>
            <w:tcW w:w="992" w:type="dxa"/>
            <w:tcBorders>
              <w:top w:val="nil"/>
              <w:left w:val="nil"/>
              <w:bottom w:val="single" w:sz="4" w:space="0" w:color="auto"/>
              <w:right w:val="single" w:sz="8" w:space="0" w:color="auto"/>
            </w:tcBorders>
            <w:shd w:val="clear" w:color="000000" w:fill="FCE4D6"/>
            <w:noWrap/>
            <w:vAlign w:val="bottom"/>
            <w:hideMark/>
          </w:tcPr>
          <w:p w14:paraId="42547ED3" w14:textId="77777777" w:rsidR="006171B0" w:rsidRPr="00E25F61" w:rsidRDefault="006171B0" w:rsidP="006171B0">
            <w:pPr>
              <w:spacing w:before="0" w:after="0" w:line="240" w:lineRule="auto"/>
              <w:jc w:val="center"/>
              <w:rPr>
                <w:rFonts w:eastAsia="Times New Roman" w:cstheme="minorHAnsi"/>
                <w:b/>
                <w:bCs/>
                <w:lang w:eastAsia="en-GB"/>
              </w:rPr>
            </w:pPr>
            <w:r w:rsidRPr="00E25F61">
              <w:rPr>
                <w:rFonts w:eastAsia="Times New Roman" w:cstheme="minorHAnsi"/>
                <w:b/>
                <w:bCs/>
                <w:lang w:eastAsia="en-GB"/>
              </w:rPr>
              <w:t>3.2%</w:t>
            </w:r>
          </w:p>
        </w:tc>
      </w:tr>
      <w:tr w:rsidR="006171B0" w:rsidRPr="00AF353B" w14:paraId="5E18E621" w14:textId="77777777" w:rsidTr="006171B0">
        <w:trPr>
          <w:trHeight w:val="255"/>
        </w:trPr>
        <w:tc>
          <w:tcPr>
            <w:tcW w:w="882" w:type="dxa"/>
            <w:tcBorders>
              <w:top w:val="nil"/>
              <w:left w:val="single" w:sz="8" w:space="0" w:color="auto"/>
              <w:bottom w:val="single" w:sz="4" w:space="0" w:color="auto"/>
              <w:right w:val="single" w:sz="4" w:space="0" w:color="auto"/>
            </w:tcBorders>
            <w:shd w:val="clear" w:color="000000" w:fill="D9E1F2"/>
            <w:noWrap/>
            <w:vAlign w:val="bottom"/>
            <w:hideMark/>
          </w:tcPr>
          <w:p w14:paraId="0A3C5785"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9</w:t>
            </w:r>
          </w:p>
        </w:tc>
        <w:tc>
          <w:tcPr>
            <w:tcW w:w="2203" w:type="dxa"/>
            <w:tcBorders>
              <w:top w:val="nil"/>
              <w:left w:val="nil"/>
              <w:bottom w:val="single" w:sz="4" w:space="0" w:color="auto"/>
              <w:right w:val="single" w:sz="4" w:space="0" w:color="auto"/>
            </w:tcBorders>
            <w:shd w:val="clear" w:color="000000" w:fill="D9E1F2"/>
            <w:noWrap/>
            <w:vAlign w:val="bottom"/>
            <w:hideMark/>
          </w:tcPr>
          <w:p w14:paraId="47F6329A" w14:textId="77777777" w:rsidR="006171B0" w:rsidRPr="00E25F61" w:rsidRDefault="006171B0" w:rsidP="006171B0">
            <w:pPr>
              <w:spacing w:before="0" w:after="0" w:line="240" w:lineRule="auto"/>
              <w:rPr>
                <w:rFonts w:eastAsia="Times New Roman" w:cstheme="minorHAnsi"/>
                <w:lang w:eastAsia="en-GB"/>
              </w:rPr>
            </w:pPr>
            <w:r w:rsidRPr="00E25F61">
              <w:rPr>
                <w:rFonts w:eastAsia="Times New Roman" w:cstheme="minorHAnsi"/>
                <w:lang w:eastAsia="en-GB"/>
              </w:rPr>
              <w:t>Angus</w:t>
            </w:r>
          </w:p>
        </w:tc>
        <w:tc>
          <w:tcPr>
            <w:tcW w:w="992" w:type="dxa"/>
            <w:tcBorders>
              <w:top w:val="nil"/>
              <w:left w:val="nil"/>
              <w:bottom w:val="single" w:sz="4" w:space="0" w:color="auto"/>
              <w:right w:val="single" w:sz="8" w:space="0" w:color="auto"/>
            </w:tcBorders>
            <w:shd w:val="clear" w:color="000000" w:fill="D9E1F2"/>
            <w:noWrap/>
            <w:vAlign w:val="bottom"/>
            <w:hideMark/>
          </w:tcPr>
          <w:p w14:paraId="4B001B02"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3.1%</w:t>
            </w:r>
          </w:p>
        </w:tc>
      </w:tr>
      <w:tr w:rsidR="006171B0" w:rsidRPr="00AF353B" w14:paraId="3AB7B303" w14:textId="77777777" w:rsidTr="006171B0">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7C4167FC"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10</w:t>
            </w:r>
          </w:p>
        </w:tc>
        <w:tc>
          <w:tcPr>
            <w:tcW w:w="2203" w:type="dxa"/>
            <w:tcBorders>
              <w:top w:val="nil"/>
              <w:left w:val="nil"/>
              <w:bottom w:val="single" w:sz="4" w:space="0" w:color="auto"/>
              <w:right w:val="single" w:sz="4" w:space="0" w:color="auto"/>
            </w:tcBorders>
            <w:shd w:val="clear" w:color="auto" w:fill="auto"/>
            <w:noWrap/>
            <w:vAlign w:val="bottom"/>
            <w:hideMark/>
          </w:tcPr>
          <w:p w14:paraId="743F333E" w14:textId="77777777" w:rsidR="006171B0" w:rsidRPr="00E25F61" w:rsidRDefault="006171B0" w:rsidP="006171B0">
            <w:pPr>
              <w:spacing w:before="0" w:after="0" w:line="240" w:lineRule="auto"/>
              <w:rPr>
                <w:rFonts w:eastAsia="Times New Roman" w:cstheme="minorHAnsi"/>
                <w:lang w:eastAsia="en-GB"/>
              </w:rPr>
            </w:pPr>
            <w:r w:rsidRPr="00E25F61">
              <w:rPr>
                <w:rFonts w:eastAsia="Times New Roman" w:cstheme="minorHAnsi"/>
                <w:lang w:eastAsia="en-GB"/>
              </w:rPr>
              <w:t>East Ayrshire</w:t>
            </w:r>
          </w:p>
        </w:tc>
        <w:tc>
          <w:tcPr>
            <w:tcW w:w="992" w:type="dxa"/>
            <w:tcBorders>
              <w:top w:val="nil"/>
              <w:left w:val="nil"/>
              <w:bottom w:val="single" w:sz="4" w:space="0" w:color="auto"/>
              <w:right w:val="single" w:sz="8" w:space="0" w:color="auto"/>
            </w:tcBorders>
            <w:shd w:val="clear" w:color="auto" w:fill="auto"/>
            <w:noWrap/>
            <w:vAlign w:val="bottom"/>
            <w:hideMark/>
          </w:tcPr>
          <w:p w14:paraId="379DC5BD"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2.8%</w:t>
            </w:r>
          </w:p>
        </w:tc>
      </w:tr>
      <w:tr w:rsidR="006171B0" w:rsidRPr="00AF353B" w14:paraId="4D9EBC8A" w14:textId="77777777" w:rsidTr="006171B0">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345B3B47"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11</w:t>
            </w:r>
          </w:p>
        </w:tc>
        <w:tc>
          <w:tcPr>
            <w:tcW w:w="2203" w:type="dxa"/>
            <w:tcBorders>
              <w:top w:val="nil"/>
              <w:left w:val="nil"/>
              <w:bottom w:val="single" w:sz="4" w:space="0" w:color="auto"/>
              <w:right w:val="single" w:sz="4" w:space="0" w:color="auto"/>
            </w:tcBorders>
            <w:shd w:val="clear" w:color="auto" w:fill="auto"/>
            <w:noWrap/>
            <w:vAlign w:val="bottom"/>
            <w:hideMark/>
          </w:tcPr>
          <w:p w14:paraId="2AFDEDAF" w14:textId="77777777" w:rsidR="006171B0" w:rsidRPr="00E25F61" w:rsidRDefault="006171B0" w:rsidP="006171B0">
            <w:pPr>
              <w:spacing w:before="0" w:after="0" w:line="240" w:lineRule="auto"/>
              <w:rPr>
                <w:rFonts w:eastAsia="Times New Roman" w:cstheme="minorHAnsi"/>
                <w:lang w:eastAsia="en-GB"/>
              </w:rPr>
            </w:pPr>
            <w:r w:rsidRPr="00E25F61">
              <w:rPr>
                <w:rFonts w:eastAsia="Times New Roman" w:cstheme="minorHAnsi"/>
                <w:lang w:eastAsia="en-GB"/>
              </w:rPr>
              <w:t>North Lanarkshire</w:t>
            </w:r>
          </w:p>
        </w:tc>
        <w:tc>
          <w:tcPr>
            <w:tcW w:w="992" w:type="dxa"/>
            <w:tcBorders>
              <w:top w:val="nil"/>
              <w:left w:val="nil"/>
              <w:bottom w:val="single" w:sz="4" w:space="0" w:color="auto"/>
              <w:right w:val="single" w:sz="8" w:space="0" w:color="auto"/>
            </w:tcBorders>
            <w:shd w:val="clear" w:color="auto" w:fill="auto"/>
            <w:noWrap/>
            <w:vAlign w:val="bottom"/>
            <w:hideMark/>
          </w:tcPr>
          <w:p w14:paraId="6A9412B6"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2.7%</w:t>
            </w:r>
          </w:p>
        </w:tc>
      </w:tr>
      <w:tr w:rsidR="006171B0" w:rsidRPr="00AF353B" w14:paraId="722F463A" w14:textId="77777777" w:rsidTr="006171B0">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5DB3CD9A"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12</w:t>
            </w:r>
          </w:p>
        </w:tc>
        <w:tc>
          <w:tcPr>
            <w:tcW w:w="2203" w:type="dxa"/>
            <w:tcBorders>
              <w:top w:val="nil"/>
              <w:left w:val="nil"/>
              <w:bottom w:val="single" w:sz="4" w:space="0" w:color="auto"/>
              <w:right w:val="single" w:sz="4" w:space="0" w:color="auto"/>
            </w:tcBorders>
            <w:shd w:val="clear" w:color="auto" w:fill="auto"/>
            <w:noWrap/>
            <w:vAlign w:val="bottom"/>
            <w:hideMark/>
          </w:tcPr>
          <w:p w14:paraId="55E3741F" w14:textId="77777777" w:rsidR="006171B0" w:rsidRPr="00E25F61" w:rsidRDefault="006171B0" w:rsidP="006171B0">
            <w:pPr>
              <w:spacing w:before="0" w:after="0" w:line="240" w:lineRule="auto"/>
              <w:rPr>
                <w:rFonts w:eastAsia="Times New Roman" w:cstheme="minorHAnsi"/>
                <w:lang w:eastAsia="en-GB"/>
              </w:rPr>
            </w:pPr>
            <w:r w:rsidRPr="00E25F61">
              <w:rPr>
                <w:rFonts w:eastAsia="Times New Roman" w:cstheme="minorHAnsi"/>
                <w:lang w:eastAsia="en-GB"/>
              </w:rPr>
              <w:t>Dumfries and Galloway</w:t>
            </w:r>
          </w:p>
        </w:tc>
        <w:tc>
          <w:tcPr>
            <w:tcW w:w="992" w:type="dxa"/>
            <w:tcBorders>
              <w:top w:val="nil"/>
              <w:left w:val="nil"/>
              <w:bottom w:val="single" w:sz="4" w:space="0" w:color="auto"/>
              <w:right w:val="single" w:sz="8" w:space="0" w:color="auto"/>
            </w:tcBorders>
            <w:shd w:val="clear" w:color="auto" w:fill="auto"/>
            <w:noWrap/>
            <w:vAlign w:val="bottom"/>
            <w:hideMark/>
          </w:tcPr>
          <w:p w14:paraId="11EAA7AD"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2.7%</w:t>
            </w:r>
          </w:p>
        </w:tc>
      </w:tr>
      <w:tr w:rsidR="006171B0" w:rsidRPr="00AF353B" w14:paraId="55F2D14C" w14:textId="77777777" w:rsidTr="006171B0">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1AA6099F"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13</w:t>
            </w:r>
          </w:p>
        </w:tc>
        <w:tc>
          <w:tcPr>
            <w:tcW w:w="2203" w:type="dxa"/>
            <w:tcBorders>
              <w:top w:val="nil"/>
              <w:left w:val="nil"/>
              <w:bottom w:val="single" w:sz="4" w:space="0" w:color="auto"/>
              <w:right w:val="single" w:sz="4" w:space="0" w:color="auto"/>
            </w:tcBorders>
            <w:shd w:val="clear" w:color="auto" w:fill="auto"/>
            <w:noWrap/>
            <w:vAlign w:val="bottom"/>
            <w:hideMark/>
          </w:tcPr>
          <w:p w14:paraId="6ECBD7A0" w14:textId="77777777" w:rsidR="006171B0" w:rsidRPr="00E25F61" w:rsidRDefault="006171B0" w:rsidP="006171B0">
            <w:pPr>
              <w:spacing w:before="0" w:after="0" w:line="240" w:lineRule="auto"/>
              <w:rPr>
                <w:rFonts w:eastAsia="Times New Roman" w:cstheme="minorHAnsi"/>
                <w:lang w:eastAsia="en-GB"/>
              </w:rPr>
            </w:pPr>
            <w:r w:rsidRPr="00E25F61">
              <w:rPr>
                <w:rFonts w:eastAsia="Times New Roman" w:cstheme="minorHAnsi"/>
                <w:lang w:eastAsia="en-GB"/>
              </w:rPr>
              <w:t>Falkirk</w:t>
            </w:r>
          </w:p>
        </w:tc>
        <w:tc>
          <w:tcPr>
            <w:tcW w:w="992" w:type="dxa"/>
            <w:tcBorders>
              <w:top w:val="nil"/>
              <w:left w:val="nil"/>
              <w:bottom w:val="single" w:sz="4" w:space="0" w:color="auto"/>
              <w:right w:val="single" w:sz="8" w:space="0" w:color="auto"/>
            </w:tcBorders>
            <w:shd w:val="clear" w:color="auto" w:fill="auto"/>
            <w:noWrap/>
            <w:vAlign w:val="bottom"/>
            <w:hideMark/>
          </w:tcPr>
          <w:p w14:paraId="1D1BFE2D"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2.7%</w:t>
            </w:r>
          </w:p>
        </w:tc>
      </w:tr>
      <w:tr w:rsidR="006171B0" w:rsidRPr="00AF353B" w14:paraId="6CF0506A" w14:textId="77777777" w:rsidTr="006171B0">
        <w:trPr>
          <w:trHeight w:val="263"/>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5F543F5A" w14:textId="77777777" w:rsidR="006171B0" w:rsidRPr="00E25F61" w:rsidRDefault="006171B0" w:rsidP="006171B0">
            <w:pPr>
              <w:spacing w:before="0" w:after="0" w:line="240" w:lineRule="auto"/>
              <w:jc w:val="center"/>
              <w:rPr>
                <w:rFonts w:eastAsia="Times New Roman" w:cstheme="minorHAnsi"/>
                <w:b/>
                <w:bCs/>
                <w:lang w:eastAsia="en-GB"/>
              </w:rPr>
            </w:pPr>
            <w:r w:rsidRPr="00E25F61">
              <w:rPr>
                <w:rFonts w:eastAsia="Times New Roman" w:cstheme="minorHAnsi"/>
                <w:b/>
                <w:bCs/>
                <w:lang w:eastAsia="en-GB"/>
              </w:rPr>
              <w:t>14</w:t>
            </w:r>
          </w:p>
        </w:tc>
        <w:tc>
          <w:tcPr>
            <w:tcW w:w="2203" w:type="dxa"/>
            <w:tcBorders>
              <w:top w:val="nil"/>
              <w:left w:val="nil"/>
              <w:bottom w:val="single" w:sz="4" w:space="0" w:color="auto"/>
              <w:right w:val="single" w:sz="4" w:space="0" w:color="auto"/>
            </w:tcBorders>
            <w:shd w:val="clear" w:color="auto" w:fill="auto"/>
            <w:noWrap/>
            <w:vAlign w:val="bottom"/>
            <w:hideMark/>
          </w:tcPr>
          <w:p w14:paraId="3E0F4B5E" w14:textId="77777777" w:rsidR="006171B0" w:rsidRPr="00E25F61" w:rsidRDefault="006171B0" w:rsidP="006171B0">
            <w:pPr>
              <w:spacing w:before="0" w:after="0" w:line="240" w:lineRule="auto"/>
              <w:rPr>
                <w:rFonts w:eastAsia="Times New Roman" w:cstheme="minorHAnsi"/>
                <w:lang w:eastAsia="en-GB"/>
              </w:rPr>
            </w:pPr>
            <w:r w:rsidRPr="00E25F61">
              <w:rPr>
                <w:rFonts w:eastAsia="Times New Roman" w:cstheme="minorHAnsi"/>
                <w:lang w:eastAsia="en-GB"/>
              </w:rPr>
              <w:t>West Lothian</w:t>
            </w:r>
          </w:p>
        </w:tc>
        <w:tc>
          <w:tcPr>
            <w:tcW w:w="992" w:type="dxa"/>
            <w:tcBorders>
              <w:top w:val="nil"/>
              <w:left w:val="nil"/>
              <w:bottom w:val="single" w:sz="4" w:space="0" w:color="auto"/>
              <w:right w:val="single" w:sz="8" w:space="0" w:color="auto"/>
            </w:tcBorders>
            <w:shd w:val="clear" w:color="auto" w:fill="auto"/>
            <w:noWrap/>
            <w:vAlign w:val="bottom"/>
            <w:hideMark/>
          </w:tcPr>
          <w:p w14:paraId="6BCB2FA9"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2.6%</w:t>
            </w:r>
          </w:p>
        </w:tc>
      </w:tr>
      <w:tr w:rsidR="006171B0" w:rsidRPr="00AF353B" w14:paraId="0919557B" w14:textId="77777777" w:rsidTr="006171B0">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5A49F39C"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15</w:t>
            </w:r>
          </w:p>
        </w:tc>
        <w:tc>
          <w:tcPr>
            <w:tcW w:w="2203" w:type="dxa"/>
            <w:tcBorders>
              <w:top w:val="nil"/>
              <w:left w:val="nil"/>
              <w:bottom w:val="single" w:sz="4" w:space="0" w:color="auto"/>
              <w:right w:val="single" w:sz="4" w:space="0" w:color="auto"/>
            </w:tcBorders>
            <w:shd w:val="clear" w:color="auto" w:fill="auto"/>
            <w:noWrap/>
            <w:vAlign w:val="bottom"/>
            <w:hideMark/>
          </w:tcPr>
          <w:p w14:paraId="6213804F" w14:textId="77777777" w:rsidR="006171B0" w:rsidRPr="00E25F61" w:rsidRDefault="006171B0" w:rsidP="006171B0">
            <w:pPr>
              <w:spacing w:before="0" w:after="0" w:line="240" w:lineRule="auto"/>
              <w:rPr>
                <w:rFonts w:eastAsia="Times New Roman" w:cstheme="minorHAnsi"/>
                <w:lang w:eastAsia="en-GB"/>
              </w:rPr>
            </w:pPr>
            <w:r w:rsidRPr="00E25F61">
              <w:rPr>
                <w:rFonts w:eastAsia="Times New Roman" w:cstheme="minorHAnsi"/>
                <w:lang w:eastAsia="en-GB"/>
              </w:rPr>
              <w:t>Fife</w:t>
            </w:r>
          </w:p>
        </w:tc>
        <w:tc>
          <w:tcPr>
            <w:tcW w:w="992" w:type="dxa"/>
            <w:tcBorders>
              <w:top w:val="nil"/>
              <w:left w:val="nil"/>
              <w:bottom w:val="single" w:sz="4" w:space="0" w:color="auto"/>
              <w:right w:val="single" w:sz="8" w:space="0" w:color="auto"/>
            </w:tcBorders>
            <w:shd w:val="clear" w:color="auto" w:fill="auto"/>
            <w:noWrap/>
            <w:vAlign w:val="bottom"/>
            <w:hideMark/>
          </w:tcPr>
          <w:p w14:paraId="212E5255"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2.5%</w:t>
            </w:r>
          </w:p>
        </w:tc>
      </w:tr>
      <w:tr w:rsidR="006171B0" w:rsidRPr="00AF353B" w14:paraId="14B81B92" w14:textId="77777777" w:rsidTr="006171B0">
        <w:trPr>
          <w:trHeight w:val="255"/>
        </w:trPr>
        <w:tc>
          <w:tcPr>
            <w:tcW w:w="882" w:type="dxa"/>
            <w:tcBorders>
              <w:top w:val="nil"/>
              <w:left w:val="single" w:sz="8" w:space="0" w:color="auto"/>
              <w:bottom w:val="single" w:sz="4" w:space="0" w:color="auto"/>
              <w:right w:val="single" w:sz="4" w:space="0" w:color="auto"/>
            </w:tcBorders>
            <w:shd w:val="clear" w:color="000000" w:fill="D9E1F2"/>
            <w:noWrap/>
            <w:vAlign w:val="bottom"/>
            <w:hideMark/>
          </w:tcPr>
          <w:p w14:paraId="2BF117EB"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16</w:t>
            </w:r>
          </w:p>
        </w:tc>
        <w:tc>
          <w:tcPr>
            <w:tcW w:w="2203" w:type="dxa"/>
            <w:tcBorders>
              <w:top w:val="nil"/>
              <w:left w:val="nil"/>
              <w:bottom w:val="single" w:sz="4" w:space="0" w:color="auto"/>
              <w:right w:val="single" w:sz="4" w:space="0" w:color="auto"/>
            </w:tcBorders>
            <w:shd w:val="clear" w:color="000000" w:fill="D9E1F2"/>
            <w:noWrap/>
            <w:vAlign w:val="bottom"/>
            <w:hideMark/>
          </w:tcPr>
          <w:p w14:paraId="5B2F49BE" w14:textId="77777777" w:rsidR="006171B0" w:rsidRPr="00E25F61" w:rsidRDefault="006171B0" w:rsidP="006171B0">
            <w:pPr>
              <w:spacing w:before="0" w:after="0" w:line="240" w:lineRule="auto"/>
              <w:rPr>
                <w:rFonts w:eastAsia="Times New Roman" w:cstheme="minorHAnsi"/>
                <w:lang w:eastAsia="en-GB"/>
              </w:rPr>
            </w:pPr>
            <w:r w:rsidRPr="00E25F61">
              <w:rPr>
                <w:rFonts w:eastAsia="Times New Roman" w:cstheme="minorHAnsi"/>
                <w:lang w:eastAsia="en-GB"/>
              </w:rPr>
              <w:t>Scottish Borders</w:t>
            </w:r>
          </w:p>
        </w:tc>
        <w:tc>
          <w:tcPr>
            <w:tcW w:w="992" w:type="dxa"/>
            <w:tcBorders>
              <w:top w:val="nil"/>
              <w:left w:val="nil"/>
              <w:bottom w:val="single" w:sz="4" w:space="0" w:color="auto"/>
              <w:right w:val="single" w:sz="8" w:space="0" w:color="auto"/>
            </w:tcBorders>
            <w:shd w:val="clear" w:color="000000" w:fill="D9E1F2"/>
            <w:noWrap/>
            <w:vAlign w:val="bottom"/>
            <w:hideMark/>
          </w:tcPr>
          <w:p w14:paraId="402CE0C7"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2.5%</w:t>
            </w:r>
          </w:p>
        </w:tc>
      </w:tr>
      <w:tr w:rsidR="006171B0" w:rsidRPr="00AF353B" w14:paraId="3228126A" w14:textId="77777777" w:rsidTr="006171B0">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76066B61"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17</w:t>
            </w:r>
          </w:p>
        </w:tc>
        <w:tc>
          <w:tcPr>
            <w:tcW w:w="2203" w:type="dxa"/>
            <w:tcBorders>
              <w:top w:val="nil"/>
              <w:left w:val="nil"/>
              <w:bottom w:val="single" w:sz="4" w:space="0" w:color="auto"/>
              <w:right w:val="single" w:sz="4" w:space="0" w:color="auto"/>
            </w:tcBorders>
            <w:shd w:val="clear" w:color="auto" w:fill="auto"/>
            <w:noWrap/>
            <w:vAlign w:val="bottom"/>
            <w:hideMark/>
          </w:tcPr>
          <w:p w14:paraId="6F52630B" w14:textId="77777777" w:rsidR="006171B0" w:rsidRPr="00E25F61" w:rsidRDefault="006171B0" w:rsidP="006171B0">
            <w:pPr>
              <w:spacing w:before="0" w:after="0" w:line="240" w:lineRule="auto"/>
              <w:rPr>
                <w:rFonts w:eastAsia="Times New Roman" w:cstheme="minorHAnsi"/>
                <w:lang w:eastAsia="en-GB"/>
              </w:rPr>
            </w:pPr>
            <w:r w:rsidRPr="00E25F61">
              <w:rPr>
                <w:rFonts w:eastAsia="Times New Roman" w:cstheme="minorHAnsi"/>
                <w:lang w:eastAsia="en-GB"/>
              </w:rPr>
              <w:t>Western Isles</w:t>
            </w:r>
          </w:p>
        </w:tc>
        <w:tc>
          <w:tcPr>
            <w:tcW w:w="992" w:type="dxa"/>
            <w:tcBorders>
              <w:top w:val="nil"/>
              <w:left w:val="nil"/>
              <w:bottom w:val="single" w:sz="4" w:space="0" w:color="auto"/>
              <w:right w:val="single" w:sz="8" w:space="0" w:color="auto"/>
            </w:tcBorders>
            <w:shd w:val="clear" w:color="auto" w:fill="auto"/>
            <w:noWrap/>
            <w:vAlign w:val="bottom"/>
            <w:hideMark/>
          </w:tcPr>
          <w:p w14:paraId="46AE921C"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2.3%</w:t>
            </w:r>
          </w:p>
        </w:tc>
      </w:tr>
      <w:tr w:rsidR="006171B0" w:rsidRPr="00AF353B" w14:paraId="7FA11A6F" w14:textId="77777777" w:rsidTr="006171B0">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465748F8"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18</w:t>
            </w:r>
          </w:p>
        </w:tc>
        <w:tc>
          <w:tcPr>
            <w:tcW w:w="2203" w:type="dxa"/>
            <w:tcBorders>
              <w:top w:val="nil"/>
              <w:left w:val="nil"/>
              <w:bottom w:val="single" w:sz="4" w:space="0" w:color="auto"/>
              <w:right w:val="single" w:sz="4" w:space="0" w:color="auto"/>
            </w:tcBorders>
            <w:shd w:val="clear" w:color="auto" w:fill="auto"/>
            <w:noWrap/>
            <w:vAlign w:val="bottom"/>
            <w:hideMark/>
          </w:tcPr>
          <w:p w14:paraId="1D97317B" w14:textId="77777777" w:rsidR="006171B0" w:rsidRPr="00E25F61" w:rsidRDefault="006171B0" w:rsidP="006171B0">
            <w:pPr>
              <w:spacing w:before="0" w:after="0" w:line="240" w:lineRule="auto"/>
              <w:rPr>
                <w:rFonts w:eastAsia="Times New Roman" w:cstheme="minorHAnsi"/>
                <w:lang w:eastAsia="en-GB"/>
              </w:rPr>
            </w:pPr>
            <w:r w:rsidRPr="00E25F61">
              <w:rPr>
                <w:rFonts w:eastAsia="Times New Roman" w:cstheme="minorHAnsi"/>
                <w:lang w:eastAsia="en-GB"/>
              </w:rPr>
              <w:t>Shetland Islands</w:t>
            </w:r>
          </w:p>
        </w:tc>
        <w:tc>
          <w:tcPr>
            <w:tcW w:w="992" w:type="dxa"/>
            <w:tcBorders>
              <w:top w:val="nil"/>
              <w:left w:val="nil"/>
              <w:bottom w:val="single" w:sz="4" w:space="0" w:color="auto"/>
              <w:right w:val="single" w:sz="8" w:space="0" w:color="auto"/>
            </w:tcBorders>
            <w:shd w:val="clear" w:color="auto" w:fill="auto"/>
            <w:noWrap/>
            <w:vAlign w:val="bottom"/>
            <w:hideMark/>
          </w:tcPr>
          <w:p w14:paraId="4C51F7ED"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2.1%</w:t>
            </w:r>
          </w:p>
        </w:tc>
      </w:tr>
      <w:tr w:rsidR="006171B0" w:rsidRPr="00AF353B" w14:paraId="1AFFE1CD" w14:textId="77777777" w:rsidTr="006171B0">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627FFE45"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19</w:t>
            </w:r>
          </w:p>
        </w:tc>
        <w:tc>
          <w:tcPr>
            <w:tcW w:w="2203" w:type="dxa"/>
            <w:tcBorders>
              <w:top w:val="nil"/>
              <w:left w:val="nil"/>
              <w:bottom w:val="single" w:sz="4" w:space="0" w:color="auto"/>
              <w:right w:val="single" w:sz="4" w:space="0" w:color="auto"/>
            </w:tcBorders>
            <w:shd w:val="clear" w:color="auto" w:fill="auto"/>
            <w:noWrap/>
            <w:vAlign w:val="bottom"/>
            <w:hideMark/>
          </w:tcPr>
          <w:p w14:paraId="634A9746" w14:textId="77777777" w:rsidR="006171B0" w:rsidRPr="00E25F61" w:rsidRDefault="006171B0" w:rsidP="006171B0">
            <w:pPr>
              <w:spacing w:before="0" w:after="0" w:line="240" w:lineRule="auto"/>
              <w:rPr>
                <w:rFonts w:eastAsia="Times New Roman" w:cstheme="minorHAnsi"/>
                <w:lang w:eastAsia="en-GB"/>
              </w:rPr>
            </w:pPr>
            <w:r w:rsidRPr="00E25F61">
              <w:rPr>
                <w:rFonts w:eastAsia="Times New Roman" w:cstheme="minorHAnsi"/>
                <w:lang w:eastAsia="en-GB"/>
              </w:rPr>
              <w:t>Perth and Kinross</w:t>
            </w:r>
          </w:p>
        </w:tc>
        <w:tc>
          <w:tcPr>
            <w:tcW w:w="992" w:type="dxa"/>
            <w:tcBorders>
              <w:top w:val="nil"/>
              <w:left w:val="nil"/>
              <w:bottom w:val="single" w:sz="4" w:space="0" w:color="auto"/>
              <w:right w:val="single" w:sz="8" w:space="0" w:color="auto"/>
            </w:tcBorders>
            <w:shd w:val="clear" w:color="auto" w:fill="auto"/>
            <w:noWrap/>
            <w:vAlign w:val="bottom"/>
            <w:hideMark/>
          </w:tcPr>
          <w:p w14:paraId="3F9A3C16"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2.0%</w:t>
            </w:r>
          </w:p>
        </w:tc>
      </w:tr>
      <w:tr w:rsidR="006171B0" w:rsidRPr="00AF353B" w14:paraId="384167A1" w14:textId="77777777" w:rsidTr="006171B0">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658625B9"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20</w:t>
            </w:r>
          </w:p>
        </w:tc>
        <w:tc>
          <w:tcPr>
            <w:tcW w:w="2203" w:type="dxa"/>
            <w:tcBorders>
              <w:top w:val="nil"/>
              <w:left w:val="nil"/>
              <w:bottom w:val="single" w:sz="4" w:space="0" w:color="auto"/>
              <w:right w:val="single" w:sz="4" w:space="0" w:color="auto"/>
            </w:tcBorders>
            <w:shd w:val="clear" w:color="auto" w:fill="auto"/>
            <w:noWrap/>
            <w:vAlign w:val="bottom"/>
            <w:hideMark/>
          </w:tcPr>
          <w:p w14:paraId="66622982" w14:textId="77777777" w:rsidR="006171B0" w:rsidRPr="00E25F61" w:rsidRDefault="006171B0" w:rsidP="006171B0">
            <w:pPr>
              <w:spacing w:before="0" w:after="0" w:line="240" w:lineRule="auto"/>
              <w:rPr>
                <w:rFonts w:eastAsia="Times New Roman" w:cstheme="minorHAnsi"/>
                <w:lang w:eastAsia="en-GB"/>
              </w:rPr>
            </w:pPr>
            <w:r w:rsidRPr="00E25F61">
              <w:rPr>
                <w:rFonts w:eastAsia="Times New Roman" w:cstheme="minorHAnsi"/>
                <w:lang w:eastAsia="en-GB"/>
              </w:rPr>
              <w:t>South Ayrshire</w:t>
            </w:r>
          </w:p>
        </w:tc>
        <w:tc>
          <w:tcPr>
            <w:tcW w:w="992" w:type="dxa"/>
            <w:tcBorders>
              <w:top w:val="nil"/>
              <w:left w:val="nil"/>
              <w:bottom w:val="single" w:sz="4" w:space="0" w:color="auto"/>
              <w:right w:val="single" w:sz="8" w:space="0" w:color="auto"/>
            </w:tcBorders>
            <w:shd w:val="clear" w:color="auto" w:fill="auto"/>
            <w:noWrap/>
            <w:vAlign w:val="bottom"/>
            <w:hideMark/>
          </w:tcPr>
          <w:p w14:paraId="5EDF515E"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1.8%</w:t>
            </w:r>
          </w:p>
        </w:tc>
      </w:tr>
      <w:tr w:rsidR="006171B0" w:rsidRPr="00AF353B" w14:paraId="5D727AA5" w14:textId="77777777" w:rsidTr="006171B0">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40315538"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21</w:t>
            </w:r>
          </w:p>
        </w:tc>
        <w:tc>
          <w:tcPr>
            <w:tcW w:w="2203" w:type="dxa"/>
            <w:tcBorders>
              <w:top w:val="nil"/>
              <w:left w:val="nil"/>
              <w:bottom w:val="single" w:sz="4" w:space="0" w:color="auto"/>
              <w:right w:val="single" w:sz="4" w:space="0" w:color="auto"/>
            </w:tcBorders>
            <w:shd w:val="clear" w:color="auto" w:fill="auto"/>
            <w:noWrap/>
            <w:vAlign w:val="bottom"/>
            <w:hideMark/>
          </w:tcPr>
          <w:p w14:paraId="3F9F14FE" w14:textId="77777777" w:rsidR="006171B0" w:rsidRPr="00E25F61" w:rsidRDefault="006171B0" w:rsidP="006171B0">
            <w:pPr>
              <w:spacing w:before="0" w:after="0" w:line="240" w:lineRule="auto"/>
              <w:rPr>
                <w:rFonts w:eastAsia="Times New Roman" w:cstheme="minorHAnsi"/>
                <w:lang w:eastAsia="en-GB"/>
              </w:rPr>
            </w:pPr>
            <w:r w:rsidRPr="00E25F61">
              <w:rPr>
                <w:rFonts w:eastAsia="Times New Roman" w:cstheme="minorHAnsi"/>
                <w:lang w:eastAsia="en-GB"/>
              </w:rPr>
              <w:t>Aberdeen City</w:t>
            </w:r>
          </w:p>
        </w:tc>
        <w:tc>
          <w:tcPr>
            <w:tcW w:w="992" w:type="dxa"/>
            <w:tcBorders>
              <w:top w:val="nil"/>
              <w:left w:val="nil"/>
              <w:bottom w:val="single" w:sz="4" w:space="0" w:color="auto"/>
              <w:right w:val="single" w:sz="8" w:space="0" w:color="auto"/>
            </w:tcBorders>
            <w:shd w:val="clear" w:color="auto" w:fill="auto"/>
            <w:noWrap/>
            <w:vAlign w:val="bottom"/>
            <w:hideMark/>
          </w:tcPr>
          <w:p w14:paraId="54F53155"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1.8%</w:t>
            </w:r>
          </w:p>
        </w:tc>
      </w:tr>
      <w:tr w:rsidR="006171B0" w:rsidRPr="00AF353B" w14:paraId="70182EFA" w14:textId="77777777" w:rsidTr="006171B0">
        <w:trPr>
          <w:trHeight w:val="255"/>
        </w:trPr>
        <w:tc>
          <w:tcPr>
            <w:tcW w:w="882" w:type="dxa"/>
            <w:tcBorders>
              <w:top w:val="nil"/>
              <w:left w:val="single" w:sz="8" w:space="0" w:color="auto"/>
              <w:bottom w:val="single" w:sz="4" w:space="0" w:color="auto"/>
              <w:right w:val="single" w:sz="4" w:space="0" w:color="auto"/>
            </w:tcBorders>
            <w:shd w:val="clear" w:color="000000" w:fill="D9E1F2"/>
            <w:noWrap/>
            <w:vAlign w:val="bottom"/>
            <w:hideMark/>
          </w:tcPr>
          <w:p w14:paraId="0BD7F3F2"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22</w:t>
            </w:r>
          </w:p>
        </w:tc>
        <w:tc>
          <w:tcPr>
            <w:tcW w:w="2203" w:type="dxa"/>
            <w:tcBorders>
              <w:top w:val="nil"/>
              <w:left w:val="nil"/>
              <w:bottom w:val="single" w:sz="4" w:space="0" w:color="auto"/>
              <w:right w:val="single" w:sz="4" w:space="0" w:color="auto"/>
            </w:tcBorders>
            <w:shd w:val="clear" w:color="000000" w:fill="D9E1F2"/>
            <w:noWrap/>
            <w:vAlign w:val="bottom"/>
            <w:hideMark/>
          </w:tcPr>
          <w:p w14:paraId="76B642E2" w14:textId="77777777" w:rsidR="006171B0" w:rsidRPr="00E25F61" w:rsidRDefault="006171B0" w:rsidP="006171B0">
            <w:pPr>
              <w:spacing w:before="0" w:after="0" w:line="240" w:lineRule="auto"/>
              <w:rPr>
                <w:rFonts w:eastAsia="Times New Roman" w:cstheme="minorHAnsi"/>
                <w:lang w:eastAsia="en-GB"/>
              </w:rPr>
            </w:pPr>
            <w:r w:rsidRPr="00E25F61">
              <w:rPr>
                <w:rFonts w:eastAsia="Times New Roman" w:cstheme="minorHAnsi"/>
                <w:lang w:eastAsia="en-GB"/>
              </w:rPr>
              <w:t>Highland</w:t>
            </w:r>
          </w:p>
        </w:tc>
        <w:tc>
          <w:tcPr>
            <w:tcW w:w="992" w:type="dxa"/>
            <w:tcBorders>
              <w:top w:val="nil"/>
              <w:left w:val="nil"/>
              <w:bottom w:val="single" w:sz="4" w:space="0" w:color="auto"/>
              <w:right w:val="single" w:sz="8" w:space="0" w:color="auto"/>
            </w:tcBorders>
            <w:shd w:val="clear" w:color="000000" w:fill="D9E1F2"/>
            <w:noWrap/>
            <w:vAlign w:val="bottom"/>
            <w:hideMark/>
          </w:tcPr>
          <w:p w14:paraId="4930CC3D"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1.4%</w:t>
            </w:r>
          </w:p>
        </w:tc>
      </w:tr>
      <w:tr w:rsidR="006171B0" w:rsidRPr="00AF353B" w14:paraId="32F2CBAB" w14:textId="77777777" w:rsidTr="006171B0">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6ACF1F75"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23</w:t>
            </w:r>
          </w:p>
        </w:tc>
        <w:tc>
          <w:tcPr>
            <w:tcW w:w="2203" w:type="dxa"/>
            <w:tcBorders>
              <w:top w:val="nil"/>
              <w:left w:val="nil"/>
              <w:bottom w:val="single" w:sz="4" w:space="0" w:color="auto"/>
              <w:right w:val="single" w:sz="4" w:space="0" w:color="auto"/>
            </w:tcBorders>
            <w:shd w:val="clear" w:color="auto" w:fill="auto"/>
            <w:noWrap/>
            <w:vAlign w:val="bottom"/>
            <w:hideMark/>
          </w:tcPr>
          <w:p w14:paraId="26F6C869" w14:textId="77777777" w:rsidR="006171B0" w:rsidRPr="00E25F61" w:rsidRDefault="006171B0" w:rsidP="006171B0">
            <w:pPr>
              <w:spacing w:before="0" w:after="0" w:line="240" w:lineRule="auto"/>
              <w:rPr>
                <w:rFonts w:eastAsia="Times New Roman" w:cstheme="minorHAnsi"/>
                <w:lang w:eastAsia="en-GB"/>
              </w:rPr>
            </w:pPr>
            <w:r w:rsidRPr="00E25F61">
              <w:rPr>
                <w:rFonts w:eastAsia="Times New Roman" w:cstheme="minorHAnsi"/>
                <w:lang w:eastAsia="en-GB"/>
              </w:rPr>
              <w:t>South Lanarkshire</w:t>
            </w:r>
          </w:p>
        </w:tc>
        <w:tc>
          <w:tcPr>
            <w:tcW w:w="992" w:type="dxa"/>
            <w:tcBorders>
              <w:top w:val="nil"/>
              <w:left w:val="nil"/>
              <w:bottom w:val="single" w:sz="4" w:space="0" w:color="auto"/>
              <w:right w:val="single" w:sz="8" w:space="0" w:color="auto"/>
            </w:tcBorders>
            <w:shd w:val="clear" w:color="auto" w:fill="auto"/>
            <w:noWrap/>
            <w:vAlign w:val="bottom"/>
            <w:hideMark/>
          </w:tcPr>
          <w:p w14:paraId="64733630"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1.3%</w:t>
            </w:r>
          </w:p>
        </w:tc>
      </w:tr>
      <w:tr w:rsidR="006171B0" w:rsidRPr="00AF353B" w14:paraId="314E3908" w14:textId="77777777" w:rsidTr="006171B0">
        <w:trPr>
          <w:trHeight w:val="255"/>
        </w:trPr>
        <w:tc>
          <w:tcPr>
            <w:tcW w:w="882" w:type="dxa"/>
            <w:tcBorders>
              <w:top w:val="nil"/>
              <w:left w:val="single" w:sz="8" w:space="0" w:color="auto"/>
              <w:bottom w:val="single" w:sz="4" w:space="0" w:color="auto"/>
              <w:right w:val="single" w:sz="4" w:space="0" w:color="auto"/>
            </w:tcBorders>
            <w:shd w:val="clear" w:color="000000" w:fill="D9E1F2"/>
            <w:noWrap/>
            <w:vAlign w:val="bottom"/>
            <w:hideMark/>
          </w:tcPr>
          <w:p w14:paraId="277C3F1B"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24</w:t>
            </w:r>
          </w:p>
        </w:tc>
        <w:tc>
          <w:tcPr>
            <w:tcW w:w="2203" w:type="dxa"/>
            <w:tcBorders>
              <w:top w:val="nil"/>
              <w:left w:val="nil"/>
              <w:bottom w:val="single" w:sz="4" w:space="0" w:color="auto"/>
              <w:right w:val="single" w:sz="4" w:space="0" w:color="auto"/>
            </w:tcBorders>
            <w:shd w:val="clear" w:color="000000" w:fill="D9E1F2"/>
            <w:noWrap/>
            <w:vAlign w:val="bottom"/>
            <w:hideMark/>
          </w:tcPr>
          <w:p w14:paraId="648DBC6F" w14:textId="77777777" w:rsidR="006171B0" w:rsidRPr="00E25F61" w:rsidRDefault="006171B0" w:rsidP="006171B0">
            <w:pPr>
              <w:spacing w:before="0" w:after="0" w:line="240" w:lineRule="auto"/>
              <w:rPr>
                <w:rFonts w:eastAsia="Times New Roman" w:cstheme="minorHAnsi"/>
                <w:lang w:eastAsia="en-GB"/>
              </w:rPr>
            </w:pPr>
            <w:r w:rsidRPr="00E25F61">
              <w:rPr>
                <w:rFonts w:eastAsia="Times New Roman" w:cstheme="minorHAnsi"/>
                <w:lang w:eastAsia="en-GB"/>
              </w:rPr>
              <w:t>Stirling</w:t>
            </w:r>
          </w:p>
        </w:tc>
        <w:tc>
          <w:tcPr>
            <w:tcW w:w="992" w:type="dxa"/>
            <w:tcBorders>
              <w:top w:val="nil"/>
              <w:left w:val="nil"/>
              <w:bottom w:val="single" w:sz="4" w:space="0" w:color="auto"/>
              <w:right w:val="single" w:sz="8" w:space="0" w:color="auto"/>
            </w:tcBorders>
            <w:shd w:val="clear" w:color="000000" w:fill="D9E1F2"/>
            <w:noWrap/>
            <w:vAlign w:val="bottom"/>
            <w:hideMark/>
          </w:tcPr>
          <w:p w14:paraId="2C82CF0F"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1.2%</w:t>
            </w:r>
          </w:p>
        </w:tc>
      </w:tr>
      <w:tr w:rsidR="006171B0" w:rsidRPr="00AF353B" w14:paraId="58BA2748" w14:textId="77777777" w:rsidTr="006171B0">
        <w:trPr>
          <w:trHeight w:val="255"/>
        </w:trPr>
        <w:tc>
          <w:tcPr>
            <w:tcW w:w="882" w:type="dxa"/>
            <w:tcBorders>
              <w:top w:val="nil"/>
              <w:left w:val="single" w:sz="8" w:space="0" w:color="auto"/>
              <w:bottom w:val="single" w:sz="4" w:space="0" w:color="auto"/>
              <w:right w:val="single" w:sz="4" w:space="0" w:color="auto"/>
            </w:tcBorders>
            <w:shd w:val="clear" w:color="000000" w:fill="D9E1F2"/>
            <w:noWrap/>
            <w:vAlign w:val="bottom"/>
            <w:hideMark/>
          </w:tcPr>
          <w:p w14:paraId="20EEC5CB"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25</w:t>
            </w:r>
          </w:p>
        </w:tc>
        <w:tc>
          <w:tcPr>
            <w:tcW w:w="2203" w:type="dxa"/>
            <w:tcBorders>
              <w:top w:val="nil"/>
              <w:left w:val="nil"/>
              <w:bottom w:val="single" w:sz="4" w:space="0" w:color="auto"/>
              <w:right w:val="single" w:sz="4" w:space="0" w:color="auto"/>
            </w:tcBorders>
            <w:shd w:val="clear" w:color="000000" w:fill="D9E1F2"/>
            <w:noWrap/>
            <w:vAlign w:val="bottom"/>
            <w:hideMark/>
          </w:tcPr>
          <w:p w14:paraId="0326C714" w14:textId="77777777" w:rsidR="006171B0" w:rsidRPr="00E25F61" w:rsidRDefault="006171B0" w:rsidP="006171B0">
            <w:pPr>
              <w:spacing w:before="0" w:after="0" w:line="240" w:lineRule="auto"/>
              <w:rPr>
                <w:rFonts w:eastAsia="Times New Roman" w:cstheme="minorHAnsi"/>
                <w:lang w:eastAsia="en-GB"/>
              </w:rPr>
            </w:pPr>
            <w:r w:rsidRPr="00E25F61">
              <w:rPr>
                <w:rFonts w:eastAsia="Times New Roman" w:cstheme="minorHAnsi"/>
                <w:lang w:eastAsia="en-GB"/>
              </w:rPr>
              <w:t>Argyll and Bute</w:t>
            </w:r>
          </w:p>
        </w:tc>
        <w:tc>
          <w:tcPr>
            <w:tcW w:w="992" w:type="dxa"/>
            <w:tcBorders>
              <w:top w:val="nil"/>
              <w:left w:val="nil"/>
              <w:bottom w:val="single" w:sz="4" w:space="0" w:color="auto"/>
              <w:right w:val="single" w:sz="8" w:space="0" w:color="auto"/>
            </w:tcBorders>
            <w:shd w:val="clear" w:color="000000" w:fill="D9E1F2"/>
            <w:noWrap/>
            <w:vAlign w:val="bottom"/>
            <w:hideMark/>
          </w:tcPr>
          <w:p w14:paraId="01B004F0"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1.1%</w:t>
            </w:r>
          </w:p>
        </w:tc>
      </w:tr>
      <w:tr w:rsidR="006171B0" w:rsidRPr="00AF353B" w14:paraId="7EC3922C" w14:textId="77777777" w:rsidTr="006171B0">
        <w:trPr>
          <w:trHeight w:val="255"/>
        </w:trPr>
        <w:tc>
          <w:tcPr>
            <w:tcW w:w="882" w:type="dxa"/>
            <w:tcBorders>
              <w:top w:val="nil"/>
              <w:left w:val="single" w:sz="8" w:space="0" w:color="auto"/>
              <w:bottom w:val="single" w:sz="4" w:space="0" w:color="auto"/>
              <w:right w:val="single" w:sz="4" w:space="0" w:color="auto"/>
            </w:tcBorders>
            <w:shd w:val="clear" w:color="000000" w:fill="D9E1F2"/>
            <w:noWrap/>
            <w:vAlign w:val="bottom"/>
            <w:hideMark/>
          </w:tcPr>
          <w:p w14:paraId="7881D98D"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26</w:t>
            </w:r>
          </w:p>
        </w:tc>
        <w:tc>
          <w:tcPr>
            <w:tcW w:w="2203" w:type="dxa"/>
            <w:tcBorders>
              <w:top w:val="nil"/>
              <w:left w:val="nil"/>
              <w:bottom w:val="single" w:sz="4" w:space="0" w:color="auto"/>
              <w:right w:val="single" w:sz="4" w:space="0" w:color="auto"/>
            </w:tcBorders>
            <w:shd w:val="clear" w:color="000000" w:fill="D9E1F2"/>
            <w:noWrap/>
            <w:vAlign w:val="bottom"/>
            <w:hideMark/>
          </w:tcPr>
          <w:p w14:paraId="2883FE12" w14:textId="77777777" w:rsidR="006171B0" w:rsidRPr="00E25F61" w:rsidRDefault="006171B0" w:rsidP="006171B0">
            <w:pPr>
              <w:spacing w:before="0" w:after="0" w:line="240" w:lineRule="auto"/>
              <w:rPr>
                <w:rFonts w:eastAsia="Times New Roman" w:cstheme="minorHAnsi"/>
                <w:lang w:eastAsia="en-GB"/>
              </w:rPr>
            </w:pPr>
            <w:r w:rsidRPr="00E25F61">
              <w:rPr>
                <w:rFonts w:eastAsia="Times New Roman" w:cstheme="minorHAnsi"/>
                <w:lang w:eastAsia="en-GB"/>
              </w:rPr>
              <w:t>Midlothian</w:t>
            </w:r>
          </w:p>
        </w:tc>
        <w:tc>
          <w:tcPr>
            <w:tcW w:w="992" w:type="dxa"/>
            <w:tcBorders>
              <w:top w:val="nil"/>
              <w:left w:val="nil"/>
              <w:bottom w:val="single" w:sz="4" w:space="0" w:color="auto"/>
              <w:right w:val="single" w:sz="8" w:space="0" w:color="auto"/>
            </w:tcBorders>
            <w:shd w:val="clear" w:color="000000" w:fill="D9E1F2"/>
            <w:noWrap/>
            <w:vAlign w:val="bottom"/>
            <w:hideMark/>
          </w:tcPr>
          <w:p w14:paraId="6AB6B827"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0.9%</w:t>
            </w:r>
          </w:p>
        </w:tc>
      </w:tr>
      <w:tr w:rsidR="006171B0" w:rsidRPr="00AF353B" w14:paraId="7C80E570" w14:textId="77777777" w:rsidTr="006171B0">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2FCB924E"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27</w:t>
            </w:r>
          </w:p>
        </w:tc>
        <w:tc>
          <w:tcPr>
            <w:tcW w:w="2203" w:type="dxa"/>
            <w:tcBorders>
              <w:top w:val="nil"/>
              <w:left w:val="nil"/>
              <w:bottom w:val="single" w:sz="4" w:space="0" w:color="auto"/>
              <w:right w:val="single" w:sz="4" w:space="0" w:color="auto"/>
            </w:tcBorders>
            <w:shd w:val="clear" w:color="auto" w:fill="auto"/>
            <w:noWrap/>
            <w:vAlign w:val="bottom"/>
            <w:hideMark/>
          </w:tcPr>
          <w:p w14:paraId="2FB8789A" w14:textId="77777777" w:rsidR="006171B0" w:rsidRPr="00E25F61" w:rsidRDefault="006171B0" w:rsidP="006171B0">
            <w:pPr>
              <w:spacing w:before="0" w:after="0" w:line="240" w:lineRule="auto"/>
              <w:rPr>
                <w:rFonts w:eastAsia="Times New Roman" w:cstheme="minorHAnsi"/>
                <w:lang w:eastAsia="en-GB"/>
              </w:rPr>
            </w:pPr>
            <w:r w:rsidRPr="00E25F61">
              <w:rPr>
                <w:rFonts w:eastAsia="Times New Roman" w:cstheme="minorHAnsi"/>
                <w:lang w:eastAsia="en-GB"/>
              </w:rPr>
              <w:t>City of Edinburgh</w:t>
            </w:r>
          </w:p>
        </w:tc>
        <w:tc>
          <w:tcPr>
            <w:tcW w:w="992" w:type="dxa"/>
            <w:tcBorders>
              <w:top w:val="nil"/>
              <w:left w:val="nil"/>
              <w:bottom w:val="single" w:sz="4" w:space="0" w:color="auto"/>
              <w:right w:val="single" w:sz="8" w:space="0" w:color="auto"/>
            </w:tcBorders>
            <w:shd w:val="clear" w:color="auto" w:fill="auto"/>
            <w:noWrap/>
            <w:vAlign w:val="bottom"/>
            <w:hideMark/>
          </w:tcPr>
          <w:p w14:paraId="52F7839C"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0.9%</w:t>
            </w:r>
          </w:p>
        </w:tc>
      </w:tr>
      <w:tr w:rsidR="006171B0" w:rsidRPr="00AF353B" w14:paraId="36CDB7AC" w14:textId="77777777" w:rsidTr="006171B0">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77EEFDDC"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28</w:t>
            </w:r>
          </w:p>
        </w:tc>
        <w:tc>
          <w:tcPr>
            <w:tcW w:w="2203" w:type="dxa"/>
            <w:tcBorders>
              <w:top w:val="nil"/>
              <w:left w:val="nil"/>
              <w:bottom w:val="single" w:sz="4" w:space="0" w:color="auto"/>
              <w:right w:val="single" w:sz="4" w:space="0" w:color="auto"/>
            </w:tcBorders>
            <w:shd w:val="clear" w:color="auto" w:fill="auto"/>
            <w:noWrap/>
            <w:vAlign w:val="bottom"/>
            <w:hideMark/>
          </w:tcPr>
          <w:p w14:paraId="268DCAA6" w14:textId="77777777" w:rsidR="006171B0" w:rsidRPr="00E25F61" w:rsidRDefault="006171B0" w:rsidP="006171B0">
            <w:pPr>
              <w:spacing w:before="0" w:after="0" w:line="240" w:lineRule="auto"/>
              <w:rPr>
                <w:rFonts w:eastAsia="Times New Roman" w:cstheme="minorHAnsi"/>
                <w:lang w:eastAsia="en-GB"/>
              </w:rPr>
            </w:pPr>
            <w:r w:rsidRPr="00E25F61">
              <w:rPr>
                <w:rFonts w:eastAsia="Times New Roman" w:cstheme="minorHAnsi"/>
                <w:lang w:eastAsia="en-GB"/>
              </w:rPr>
              <w:t>Aberdeenshire</w:t>
            </w:r>
          </w:p>
        </w:tc>
        <w:tc>
          <w:tcPr>
            <w:tcW w:w="992" w:type="dxa"/>
            <w:tcBorders>
              <w:top w:val="nil"/>
              <w:left w:val="nil"/>
              <w:bottom w:val="single" w:sz="4" w:space="0" w:color="auto"/>
              <w:right w:val="single" w:sz="8" w:space="0" w:color="auto"/>
            </w:tcBorders>
            <w:shd w:val="clear" w:color="auto" w:fill="auto"/>
            <w:noWrap/>
            <w:vAlign w:val="bottom"/>
            <w:hideMark/>
          </w:tcPr>
          <w:p w14:paraId="28A4012C"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0.4%</w:t>
            </w:r>
          </w:p>
        </w:tc>
      </w:tr>
      <w:tr w:rsidR="006171B0" w:rsidRPr="00AF353B" w14:paraId="384D18F1" w14:textId="77777777" w:rsidTr="006171B0">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0D0C0E4A"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29</w:t>
            </w:r>
          </w:p>
        </w:tc>
        <w:tc>
          <w:tcPr>
            <w:tcW w:w="2203" w:type="dxa"/>
            <w:tcBorders>
              <w:top w:val="nil"/>
              <w:left w:val="nil"/>
              <w:bottom w:val="single" w:sz="4" w:space="0" w:color="auto"/>
              <w:right w:val="single" w:sz="4" w:space="0" w:color="auto"/>
            </w:tcBorders>
            <w:shd w:val="clear" w:color="auto" w:fill="auto"/>
            <w:noWrap/>
            <w:vAlign w:val="bottom"/>
            <w:hideMark/>
          </w:tcPr>
          <w:p w14:paraId="228CE754" w14:textId="77777777" w:rsidR="006171B0" w:rsidRPr="00E25F61" w:rsidRDefault="006171B0" w:rsidP="006171B0">
            <w:pPr>
              <w:spacing w:before="0" w:after="0" w:line="240" w:lineRule="auto"/>
              <w:rPr>
                <w:rFonts w:eastAsia="Times New Roman" w:cstheme="minorHAnsi"/>
                <w:lang w:eastAsia="en-GB"/>
              </w:rPr>
            </w:pPr>
            <w:r w:rsidRPr="00E25F61">
              <w:rPr>
                <w:rFonts w:eastAsia="Times New Roman" w:cstheme="minorHAnsi"/>
                <w:lang w:eastAsia="en-GB"/>
              </w:rPr>
              <w:t>Orkney Islands</w:t>
            </w:r>
          </w:p>
        </w:tc>
        <w:tc>
          <w:tcPr>
            <w:tcW w:w="992" w:type="dxa"/>
            <w:tcBorders>
              <w:top w:val="nil"/>
              <w:left w:val="nil"/>
              <w:bottom w:val="single" w:sz="4" w:space="0" w:color="auto"/>
              <w:right w:val="single" w:sz="8" w:space="0" w:color="auto"/>
            </w:tcBorders>
            <w:shd w:val="clear" w:color="auto" w:fill="auto"/>
            <w:noWrap/>
            <w:vAlign w:val="bottom"/>
            <w:hideMark/>
          </w:tcPr>
          <w:p w14:paraId="12934F12"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-0.2%</w:t>
            </w:r>
          </w:p>
        </w:tc>
      </w:tr>
      <w:tr w:rsidR="006171B0" w:rsidRPr="00AF353B" w14:paraId="18358B10" w14:textId="77777777" w:rsidTr="006171B0">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00C2A042"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30</w:t>
            </w:r>
          </w:p>
        </w:tc>
        <w:tc>
          <w:tcPr>
            <w:tcW w:w="2203" w:type="dxa"/>
            <w:tcBorders>
              <w:top w:val="nil"/>
              <w:left w:val="nil"/>
              <w:bottom w:val="single" w:sz="4" w:space="0" w:color="auto"/>
              <w:right w:val="single" w:sz="4" w:space="0" w:color="auto"/>
            </w:tcBorders>
            <w:shd w:val="clear" w:color="auto" w:fill="auto"/>
            <w:noWrap/>
            <w:vAlign w:val="bottom"/>
            <w:hideMark/>
          </w:tcPr>
          <w:p w14:paraId="458ABB20" w14:textId="77777777" w:rsidR="006171B0" w:rsidRPr="00E25F61" w:rsidRDefault="006171B0" w:rsidP="006171B0">
            <w:pPr>
              <w:spacing w:before="0" w:after="0" w:line="240" w:lineRule="auto"/>
              <w:rPr>
                <w:rFonts w:eastAsia="Times New Roman" w:cstheme="minorHAnsi"/>
                <w:lang w:eastAsia="en-GB"/>
              </w:rPr>
            </w:pPr>
            <w:r w:rsidRPr="00E25F61">
              <w:rPr>
                <w:rFonts w:eastAsia="Times New Roman" w:cstheme="minorHAnsi"/>
                <w:lang w:eastAsia="en-GB"/>
              </w:rPr>
              <w:t>East Dunbartonshire</w:t>
            </w:r>
          </w:p>
        </w:tc>
        <w:tc>
          <w:tcPr>
            <w:tcW w:w="992" w:type="dxa"/>
            <w:tcBorders>
              <w:top w:val="nil"/>
              <w:left w:val="nil"/>
              <w:bottom w:val="single" w:sz="4" w:space="0" w:color="auto"/>
              <w:right w:val="single" w:sz="8" w:space="0" w:color="auto"/>
            </w:tcBorders>
            <w:shd w:val="clear" w:color="auto" w:fill="auto"/>
            <w:noWrap/>
            <w:vAlign w:val="bottom"/>
            <w:hideMark/>
          </w:tcPr>
          <w:p w14:paraId="76398879"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-0.3%</w:t>
            </w:r>
          </w:p>
        </w:tc>
      </w:tr>
      <w:tr w:rsidR="006171B0" w:rsidRPr="00AF353B" w14:paraId="731701E0" w14:textId="77777777" w:rsidTr="006171B0">
        <w:trPr>
          <w:trHeight w:val="255"/>
        </w:trPr>
        <w:tc>
          <w:tcPr>
            <w:tcW w:w="882" w:type="dxa"/>
            <w:tcBorders>
              <w:top w:val="nil"/>
              <w:left w:val="single" w:sz="8" w:space="0" w:color="auto"/>
              <w:bottom w:val="single" w:sz="4" w:space="0" w:color="auto"/>
              <w:right w:val="single" w:sz="4" w:space="0" w:color="auto"/>
            </w:tcBorders>
            <w:shd w:val="clear" w:color="auto" w:fill="auto"/>
            <w:noWrap/>
            <w:vAlign w:val="bottom"/>
            <w:hideMark/>
          </w:tcPr>
          <w:p w14:paraId="59249717"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31</w:t>
            </w:r>
          </w:p>
        </w:tc>
        <w:tc>
          <w:tcPr>
            <w:tcW w:w="2203" w:type="dxa"/>
            <w:tcBorders>
              <w:top w:val="nil"/>
              <w:left w:val="nil"/>
              <w:bottom w:val="single" w:sz="4" w:space="0" w:color="auto"/>
              <w:right w:val="single" w:sz="4" w:space="0" w:color="auto"/>
            </w:tcBorders>
            <w:shd w:val="clear" w:color="auto" w:fill="auto"/>
            <w:noWrap/>
            <w:vAlign w:val="bottom"/>
            <w:hideMark/>
          </w:tcPr>
          <w:p w14:paraId="6BC5229F" w14:textId="77777777" w:rsidR="006171B0" w:rsidRPr="00E25F61" w:rsidRDefault="006171B0" w:rsidP="006171B0">
            <w:pPr>
              <w:spacing w:before="0" w:after="0" w:line="240" w:lineRule="auto"/>
              <w:rPr>
                <w:rFonts w:eastAsia="Times New Roman" w:cstheme="minorHAnsi"/>
                <w:lang w:eastAsia="en-GB"/>
              </w:rPr>
            </w:pPr>
            <w:r w:rsidRPr="00E25F61">
              <w:rPr>
                <w:rFonts w:eastAsia="Times New Roman" w:cstheme="minorHAnsi"/>
                <w:lang w:eastAsia="en-GB"/>
              </w:rPr>
              <w:t>East Renfrewshire</w:t>
            </w:r>
          </w:p>
        </w:tc>
        <w:tc>
          <w:tcPr>
            <w:tcW w:w="992" w:type="dxa"/>
            <w:tcBorders>
              <w:top w:val="nil"/>
              <w:left w:val="nil"/>
              <w:bottom w:val="single" w:sz="4" w:space="0" w:color="auto"/>
              <w:right w:val="single" w:sz="8" w:space="0" w:color="auto"/>
            </w:tcBorders>
            <w:shd w:val="clear" w:color="auto" w:fill="auto"/>
            <w:noWrap/>
            <w:vAlign w:val="bottom"/>
            <w:hideMark/>
          </w:tcPr>
          <w:p w14:paraId="04CE22BB"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-0.5%</w:t>
            </w:r>
          </w:p>
        </w:tc>
      </w:tr>
      <w:tr w:rsidR="006171B0" w:rsidRPr="00AF353B" w14:paraId="49958A3A" w14:textId="77777777" w:rsidTr="006171B0">
        <w:trPr>
          <w:trHeight w:val="263"/>
        </w:trPr>
        <w:tc>
          <w:tcPr>
            <w:tcW w:w="882" w:type="dxa"/>
            <w:tcBorders>
              <w:top w:val="nil"/>
              <w:left w:val="single" w:sz="8" w:space="0" w:color="auto"/>
              <w:bottom w:val="single" w:sz="8" w:space="0" w:color="auto"/>
              <w:right w:val="single" w:sz="4" w:space="0" w:color="auto"/>
            </w:tcBorders>
            <w:shd w:val="clear" w:color="000000" w:fill="D9E1F2"/>
            <w:noWrap/>
            <w:vAlign w:val="bottom"/>
            <w:hideMark/>
          </w:tcPr>
          <w:p w14:paraId="54AFD314"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32</w:t>
            </w:r>
          </w:p>
        </w:tc>
        <w:tc>
          <w:tcPr>
            <w:tcW w:w="2203" w:type="dxa"/>
            <w:tcBorders>
              <w:top w:val="nil"/>
              <w:left w:val="nil"/>
              <w:bottom w:val="single" w:sz="8" w:space="0" w:color="auto"/>
              <w:right w:val="single" w:sz="4" w:space="0" w:color="auto"/>
            </w:tcBorders>
            <w:shd w:val="clear" w:color="000000" w:fill="D9E1F2"/>
            <w:noWrap/>
            <w:vAlign w:val="bottom"/>
            <w:hideMark/>
          </w:tcPr>
          <w:p w14:paraId="784184E6" w14:textId="77777777" w:rsidR="006171B0" w:rsidRPr="00E25F61" w:rsidRDefault="006171B0" w:rsidP="006171B0">
            <w:pPr>
              <w:spacing w:before="0" w:after="0" w:line="240" w:lineRule="auto"/>
              <w:rPr>
                <w:rFonts w:eastAsia="Times New Roman" w:cstheme="minorHAnsi"/>
                <w:lang w:eastAsia="en-GB"/>
              </w:rPr>
            </w:pPr>
            <w:r w:rsidRPr="00E25F61">
              <w:rPr>
                <w:rFonts w:eastAsia="Times New Roman" w:cstheme="minorHAnsi"/>
                <w:lang w:eastAsia="en-GB"/>
              </w:rPr>
              <w:t>East Lothian</w:t>
            </w:r>
          </w:p>
        </w:tc>
        <w:tc>
          <w:tcPr>
            <w:tcW w:w="992" w:type="dxa"/>
            <w:tcBorders>
              <w:top w:val="nil"/>
              <w:left w:val="nil"/>
              <w:bottom w:val="single" w:sz="8" w:space="0" w:color="auto"/>
              <w:right w:val="single" w:sz="8" w:space="0" w:color="auto"/>
            </w:tcBorders>
            <w:shd w:val="clear" w:color="000000" w:fill="D9E1F2"/>
            <w:noWrap/>
            <w:vAlign w:val="bottom"/>
            <w:hideMark/>
          </w:tcPr>
          <w:p w14:paraId="04945535" w14:textId="77777777" w:rsidR="006171B0" w:rsidRPr="00E25F61" w:rsidRDefault="006171B0" w:rsidP="006171B0">
            <w:pPr>
              <w:spacing w:before="0" w:after="0" w:line="240" w:lineRule="auto"/>
              <w:jc w:val="center"/>
              <w:rPr>
                <w:rFonts w:eastAsia="Times New Roman" w:cstheme="minorHAnsi"/>
                <w:lang w:eastAsia="en-GB"/>
              </w:rPr>
            </w:pPr>
            <w:r w:rsidRPr="00E25F61">
              <w:rPr>
                <w:rFonts w:eastAsia="Times New Roman" w:cstheme="minorHAnsi"/>
                <w:lang w:eastAsia="en-GB"/>
              </w:rPr>
              <w:t>-0.8%</w:t>
            </w:r>
          </w:p>
        </w:tc>
      </w:tr>
    </w:tbl>
    <w:p w14:paraId="7A87E56C" w14:textId="3911A5C3" w:rsidR="00FD53BB" w:rsidRDefault="00FD53BB" w:rsidP="00FD53BB"/>
    <w:p w14:paraId="659A53CE" w14:textId="77777777" w:rsidR="00FD53BB" w:rsidRDefault="00FD53BB" w:rsidP="00FD53BB"/>
    <w:p w14:paraId="56EE28E0" w14:textId="77777777" w:rsidR="00FD53BB" w:rsidRDefault="00FD53BB" w:rsidP="00FD53BB"/>
    <w:p w14:paraId="4E3EF549" w14:textId="77777777" w:rsidR="00FD53BB" w:rsidRDefault="00FD53BB" w:rsidP="00FD53BB"/>
    <w:p w14:paraId="319CC7FD" w14:textId="77777777" w:rsidR="00FD53BB" w:rsidRDefault="00FD53BB" w:rsidP="00FD53BB"/>
    <w:p w14:paraId="3144F0C9" w14:textId="77777777" w:rsidR="00FD53BB" w:rsidRDefault="00FD53BB" w:rsidP="00FD53BB"/>
    <w:p w14:paraId="7DA86013" w14:textId="77777777" w:rsidR="00FD53BB" w:rsidRDefault="00FD53BB" w:rsidP="00FD53BB"/>
    <w:p w14:paraId="6238D143" w14:textId="77777777" w:rsidR="00FD53BB" w:rsidRDefault="00FD53BB" w:rsidP="00FD53BB"/>
    <w:p w14:paraId="58B27D0B" w14:textId="77777777" w:rsidR="00FD53BB" w:rsidRDefault="00FD53BB" w:rsidP="00FD53BB"/>
    <w:p w14:paraId="47E29B6F" w14:textId="77777777" w:rsidR="00FD53BB" w:rsidRDefault="00FD53BB" w:rsidP="00FD53BB"/>
    <w:p w14:paraId="38523302" w14:textId="77777777" w:rsidR="00FD53BB" w:rsidRDefault="00FD53BB" w:rsidP="00FD53BB"/>
    <w:p w14:paraId="554EA169" w14:textId="77777777" w:rsidR="00FD53BB" w:rsidRDefault="00FD53BB" w:rsidP="00FD53BB"/>
    <w:p w14:paraId="2BDD4CCD" w14:textId="096E35E9" w:rsidR="00FD53BB" w:rsidRDefault="00FD53BB" w:rsidP="00FD53BB"/>
    <w:p w14:paraId="74258AE2" w14:textId="77777777" w:rsidR="00FD53BB" w:rsidRPr="00FD53BB" w:rsidRDefault="00FD53BB" w:rsidP="00FD53BB"/>
    <w:p w14:paraId="578EA7E6" w14:textId="7751C3CF" w:rsidR="00B65922" w:rsidRPr="00B65922" w:rsidRDefault="00B65922" w:rsidP="00B65922"/>
    <w:p w14:paraId="1060135C" w14:textId="77777777" w:rsidR="00A2425F" w:rsidRDefault="00A2425F" w:rsidP="00A2425F"/>
    <w:p w14:paraId="585EA3B8" w14:textId="77777777" w:rsidR="00FD53BB" w:rsidRDefault="00FD53BB" w:rsidP="00A2425F"/>
    <w:p w14:paraId="55DF699E" w14:textId="77777777" w:rsidR="00FD53BB" w:rsidRDefault="00FD53BB" w:rsidP="00A2425F"/>
    <w:p w14:paraId="17F74A77" w14:textId="77777777" w:rsidR="00FD53BB" w:rsidRDefault="00FD53BB" w:rsidP="00A2425F"/>
    <w:p w14:paraId="0FE1E797" w14:textId="700B87D4" w:rsidR="0048791B" w:rsidRDefault="0048791B" w:rsidP="0048791B">
      <w:pPr>
        <w:pStyle w:val="Heading2"/>
      </w:pPr>
      <w:r>
        <w:t>conclusion</w:t>
      </w:r>
    </w:p>
    <w:p w14:paraId="32649611" w14:textId="1A6B5557" w:rsidR="00074852" w:rsidRDefault="006171B0" w:rsidP="00335032">
      <w:r>
        <w:t xml:space="preserve">Child poverty in Moray is on a rising trend and at 24.1% in 2021/22 is the highest level recorded between 2014 and 2022. </w:t>
      </w:r>
      <w:r w:rsidR="00D55AAD">
        <w:t xml:space="preserve">In </w:t>
      </w:r>
      <w:r w:rsidR="00FF4F5C">
        <w:t xml:space="preserve">2021/22, there was an estimated 3,849 children aged 0-15 living in ‘Relative Poverty’, an increase of approximately 470 children from the previous </w:t>
      </w:r>
      <w:r w:rsidR="00D55AAD">
        <w:t>year.</w:t>
      </w:r>
      <w:r w:rsidR="00FF4F5C">
        <w:t xml:space="preserve"> Poverty is defined by available household income, if a child is in poverty any adult in the household is also in poverty. </w:t>
      </w:r>
      <w:r w:rsidR="00F60C8D">
        <w:t>If the Scottish average poverty proportions for working aged adults</w:t>
      </w:r>
      <w:r w:rsidR="00EA1B36">
        <w:t xml:space="preserve"> (21%)</w:t>
      </w:r>
      <w:r w:rsidR="00F60C8D">
        <w:t xml:space="preserve"> and pensioners </w:t>
      </w:r>
      <w:r w:rsidR="00EA1B36">
        <w:t xml:space="preserve">(15%) </w:t>
      </w:r>
      <w:r w:rsidR="00F60C8D">
        <w:t>were to be applied to the population of Moray in 2021/22</w:t>
      </w:r>
      <w:r w:rsidR="001A3C5F">
        <w:t>,</w:t>
      </w:r>
      <w:r w:rsidR="00F60C8D">
        <w:t xml:space="preserve"> there were an estimated 19,455 people living in poverty</w:t>
      </w:r>
      <w:r w:rsidR="000978EA">
        <w:t>, 20.2% of the population.</w:t>
      </w:r>
      <w:r w:rsidR="00FF4F5C">
        <w:t xml:space="preserve"> </w:t>
      </w:r>
    </w:p>
    <w:p w14:paraId="3D8B5A96" w14:textId="012BCA86" w:rsidR="003E3592" w:rsidRDefault="006171B0" w:rsidP="00335032">
      <w:r>
        <w:t xml:space="preserve">The ‘Bounce back’ from the initial COVID pandemic period </w:t>
      </w:r>
      <w:r w:rsidR="00A56EDE">
        <w:t xml:space="preserve">(2020/21) </w:t>
      </w:r>
      <w:r>
        <w:t xml:space="preserve">is the likely cause of the </w:t>
      </w:r>
      <w:r w:rsidR="00A56EDE">
        <w:t xml:space="preserve">significant </w:t>
      </w:r>
      <w:r>
        <w:t xml:space="preserve">increase </w:t>
      </w:r>
      <w:r w:rsidR="00A56EDE">
        <w:t>between</w:t>
      </w:r>
      <w:r>
        <w:t xml:space="preserve"> 2020/21 and 2021/22</w:t>
      </w:r>
      <w:r w:rsidR="00A56EDE">
        <w:t xml:space="preserve">. If this period were to be excluded </w:t>
      </w:r>
      <w:r w:rsidR="00236006">
        <w:t xml:space="preserve">child poverty would show a more uniformed rising trend. </w:t>
      </w:r>
      <w:r w:rsidR="00FF4F5C">
        <w:t>Moving forward, t</w:t>
      </w:r>
      <w:r w:rsidR="00236006">
        <w:t>he increase in the cost of living since 2021/22 is likely to have an impact in 2022/23 and 2023/24, so it would be no surprise if poverty levels in these years exceed forecast levels</w:t>
      </w:r>
      <w:r w:rsidR="00DE470C">
        <w:t>.</w:t>
      </w:r>
    </w:p>
    <w:p w14:paraId="3C9E16F6" w14:textId="2FDA8791" w:rsidR="00DE470C" w:rsidRDefault="00DE470C" w:rsidP="00335032"/>
    <w:p w14:paraId="38C70373" w14:textId="77777777" w:rsidR="002828B9" w:rsidRDefault="002828B9" w:rsidP="00335032"/>
    <w:p w14:paraId="2483C699" w14:textId="45877679" w:rsidR="00C300F0" w:rsidRDefault="00C300F0" w:rsidP="00335032">
      <w:pPr>
        <w:rPr>
          <w:caps/>
        </w:rPr>
      </w:pPr>
    </w:p>
    <w:p w14:paraId="118B5D4F" w14:textId="26B5B8EB" w:rsidR="004E33EF" w:rsidRDefault="004E33EF" w:rsidP="004E33EF">
      <w:pPr>
        <w:pStyle w:val="Heading2"/>
      </w:pPr>
      <w:r>
        <w:lastRenderedPageBreak/>
        <w:t>APPENDIX 1: DATA SOURCES</w:t>
      </w:r>
    </w:p>
    <w:p w14:paraId="2A874D1B" w14:textId="77777777" w:rsidR="004E33EF" w:rsidRDefault="004E33EF" w:rsidP="004E33EF"/>
    <w:p w14:paraId="23A5E17F" w14:textId="77777777" w:rsidR="004E33EF" w:rsidRPr="00C77641" w:rsidRDefault="004E33EF" w:rsidP="004E33EF">
      <w:pPr>
        <w:pStyle w:val="Heading3"/>
      </w:pPr>
      <w:r w:rsidRPr="00C77641">
        <w:t>NATIONAL SOURCES</w:t>
      </w:r>
    </w:p>
    <w:p w14:paraId="2DC89310" w14:textId="4FC18087" w:rsidR="004E33EF" w:rsidRDefault="004E33EF" w:rsidP="004E33EF">
      <w:pPr>
        <w:pStyle w:val="ListParagraph"/>
        <w:numPr>
          <w:ilvl w:val="0"/>
          <w:numId w:val="1"/>
        </w:numPr>
      </w:pPr>
      <w:r>
        <w:t xml:space="preserve">National Records </w:t>
      </w:r>
      <w:r w:rsidR="004B7500">
        <w:t>of</w:t>
      </w:r>
      <w:r>
        <w:t xml:space="preserve"> Scotland (NRS): Mid-year population estimates by Data Zone</w:t>
      </w:r>
      <w:r w:rsidR="00365E0B">
        <w:t>,</w:t>
      </w:r>
      <w:r>
        <w:t xml:space="preserve"> 202</w:t>
      </w:r>
      <w:r w:rsidR="005C3211">
        <w:t>1</w:t>
      </w:r>
    </w:p>
    <w:p w14:paraId="02BEA30F" w14:textId="4D6C8CCA" w:rsidR="004E33EF" w:rsidRDefault="004E33EF" w:rsidP="004E33EF">
      <w:pPr>
        <w:pStyle w:val="ListParagraph"/>
        <w:numPr>
          <w:ilvl w:val="0"/>
          <w:numId w:val="1"/>
        </w:numPr>
      </w:pPr>
      <w:r>
        <w:t xml:space="preserve">National Records </w:t>
      </w:r>
      <w:r w:rsidR="004B7500">
        <w:t>of</w:t>
      </w:r>
      <w:r>
        <w:t xml:space="preserve"> Scotland (NRS): Small area household estimates by Data Zone</w:t>
      </w:r>
      <w:r w:rsidR="00365E0B">
        <w:t>,</w:t>
      </w:r>
      <w:r>
        <w:t xml:space="preserve"> 2021</w:t>
      </w:r>
    </w:p>
    <w:p w14:paraId="66822C8C" w14:textId="586201BD" w:rsidR="004E33EF" w:rsidRDefault="004E33EF" w:rsidP="004E33EF">
      <w:pPr>
        <w:pStyle w:val="ListParagraph"/>
        <w:numPr>
          <w:ilvl w:val="0"/>
          <w:numId w:val="1"/>
        </w:numPr>
      </w:pPr>
      <w:r>
        <w:t>Department of Work and Pensions (DWP) Stat-Xplore: Children living in Low Income Families</w:t>
      </w:r>
      <w:r w:rsidR="00365E0B">
        <w:t>,</w:t>
      </w:r>
      <w:r>
        <w:t xml:space="preserve"> </w:t>
      </w:r>
      <w:r w:rsidR="005C3211">
        <w:t>2021/22</w:t>
      </w:r>
    </w:p>
    <w:p w14:paraId="2AF3D63F" w14:textId="7745ED5A" w:rsidR="004E33EF" w:rsidRDefault="004E33EF" w:rsidP="004E33EF">
      <w:pPr>
        <w:pStyle w:val="ListParagraph"/>
        <w:numPr>
          <w:ilvl w:val="0"/>
          <w:numId w:val="1"/>
        </w:numPr>
      </w:pPr>
      <w:r>
        <w:t>Department of Work and Pensions (DWP) Stat-Xplore: Carers Allowance</w:t>
      </w:r>
      <w:r w:rsidR="00365E0B">
        <w:t>,</w:t>
      </w:r>
      <w:r>
        <w:t xml:space="preserve"> </w:t>
      </w:r>
      <w:r w:rsidR="005C3211">
        <w:t>July 2023</w:t>
      </w:r>
    </w:p>
    <w:p w14:paraId="676F0221" w14:textId="3BA353D5" w:rsidR="004E33EF" w:rsidRDefault="004E33EF" w:rsidP="004E33EF">
      <w:pPr>
        <w:pStyle w:val="ListParagraph"/>
        <w:numPr>
          <w:ilvl w:val="0"/>
          <w:numId w:val="1"/>
        </w:numPr>
      </w:pPr>
      <w:r>
        <w:t>Department of Work and Pensions (DWP) Stat-Xplore: Disability Living Allowance (DLA)</w:t>
      </w:r>
      <w:r w:rsidR="00365E0B">
        <w:t xml:space="preserve">, </w:t>
      </w:r>
      <w:r w:rsidR="005C3211">
        <w:t>July 2023</w:t>
      </w:r>
    </w:p>
    <w:p w14:paraId="28B1A4A0" w14:textId="41FD5E72" w:rsidR="004E33EF" w:rsidRDefault="004E33EF" w:rsidP="004E33EF">
      <w:pPr>
        <w:pStyle w:val="ListParagraph"/>
        <w:numPr>
          <w:ilvl w:val="0"/>
          <w:numId w:val="1"/>
        </w:numPr>
      </w:pPr>
      <w:r>
        <w:t>Department of Work and Pensions (DWP) Stat-Xplore: Personal Independence Payment (PIP)</w:t>
      </w:r>
      <w:r w:rsidR="00365E0B">
        <w:t xml:space="preserve">, </w:t>
      </w:r>
      <w:r w:rsidR="005C3211">
        <w:t>July 2023</w:t>
      </w:r>
    </w:p>
    <w:p w14:paraId="42055289" w14:textId="7B5E38F5" w:rsidR="004E33EF" w:rsidRDefault="004E33EF" w:rsidP="004E33EF">
      <w:pPr>
        <w:pStyle w:val="ListParagraph"/>
        <w:numPr>
          <w:ilvl w:val="0"/>
          <w:numId w:val="1"/>
        </w:numPr>
      </w:pPr>
      <w:r>
        <w:t>Department of Work and Pensions (DWP) Stat-Xplore: Universal Credit</w:t>
      </w:r>
      <w:r w:rsidR="00365E0B">
        <w:t xml:space="preserve">, </w:t>
      </w:r>
      <w:r w:rsidR="005C3211">
        <w:t>July 2023</w:t>
      </w:r>
    </w:p>
    <w:p w14:paraId="08C5F5A4" w14:textId="64B2637C" w:rsidR="00365E0B" w:rsidRDefault="00365E0B" w:rsidP="004E33EF">
      <w:pPr>
        <w:pStyle w:val="ListParagraph"/>
        <w:numPr>
          <w:ilvl w:val="0"/>
          <w:numId w:val="1"/>
        </w:numPr>
      </w:pPr>
      <w:r>
        <w:t>Department of Work and Pensions (DWP) Stat-Xplore: Pension Credit, July 2023</w:t>
      </w:r>
    </w:p>
    <w:p w14:paraId="613C2563" w14:textId="68BC0D08" w:rsidR="004E33EF" w:rsidRDefault="004E33EF" w:rsidP="004E33EF">
      <w:pPr>
        <w:pStyle w:val="ListParagraph"/>
        <w:numPr>
          <w:ilvl w:val="0"/>
          <w:numId w:val="1"/>
        </w:numPr>
      </w:pPr>
      <w:r>
        <w:t>Scottish Index of Multiple Deprivation (SIMD)</w:t>
      </w:r>
      <w:r w:rsidR="00365E0B">
        <w:t>,</w:t>
      </w:r>
      <w:r>
        <w:t xml:space="preserve"> 2020</w:t>
      </w:r>
    </w:p>
    <w:p w14:paraId="25D6EC1D" w14:textId="114CD9D4" w:rsidR="00264837" w:rsidRDefault="00264837" w:rsidP="004E33EF">
      <w:pPr>
        <w:pStyle w:val="ListParagraph"/>
        <w:numPr>
          <w:ilvl w:val="0"/>
          <w:numId w:val="1"/>
        </w:numPr>
      </w:pPr>
      <w:r>
        <w:t>End Child Poverty</w:t>
      </w:r>
      <w:r w:rsidR="00365E0B">
        <w:t>,</w:t>
      </w:r>
      <w:r w:rsidR="009759D9">
        <w:t xml:space="preserve"> 202</w:t>
      </w:r>
      <w:r w:rsidR="005C3211">
        <w:t>1</w:t>
      </w:r>
      <w:r w:rsidR="009759D9">
        <w:t>/2</w:t>
      </w:r>
      <w:r w:rsidR="005C3211">
        <w:t>2</w:t>
      </w:r>
    </w:p>
    <w:p w14:paraId="1F601849" w14:textId="748755C1" w:rsidR="005C3211" w:rsidRDefault="005C3211" w:rsidP="004E33EF">
      <w:pPr>
        <w:pStyle w:val="ListParagraph"/>
        <w:numPr>
          <w:ilvl w:val="0"/>
          <w:numId w:val="1"/>
        </w:numPr>
      </w:pPr>
      <w:r>
        <w:t>Official Census and Labour Market Statistics (NOMIS)</w:t>
      </w:r>
      <w:r w:rsidR="00365E0B">
        <w:t xml:space="preserve">, </w:t>
      </w:r>
      <w:r>
        <w:t>December 2023</w:t>
      </w:r>
    </w:p>
    <w:p w14:paraId="5B733C14" w14:textId="77777777" w:rsidR="004E33EF" w:rsidRDefault="004E33EF" w:rsidP="004E33EF">
      <w:pPr>
        <w:pStyle w:val="Heading3"/>
      </w:pPr>
      <w:r>
        <w:t>LOCAL SOURCES (Benefits and Money Advice Service)</w:t>
      </w:r>
    </w:p>
    <w:p w14:paraId="6ED4A16E" w14:textId="7D04B264" w:rsidR="004E33EF" w:rsidRDefault="00365E0B" w:rsidP="004E33EF">
      <w:pPr>
        <w:pStyle w:val="ListParagraph"/>
        <w:numPr>
          <w:ilvl w:val="0"/>
          <w:numId w:val="1"/>
        </w:numPr>
      </w:pPr>
      <w:r>
        <w:t>Council Tax Reduction</w:t>
      </w:r>
      <w:r w:rsidR="004E33EF">
        <w:t xml:space="preserve"> (CTR), </w:t>
      </w:r>
      <w:r>
        <w:t>2022/23</w:t>
      </w:r>
    </w:p>
    <w:p w14:paraId="6E41F4D1" w14:textId="31E11DD1" w:rsidR="004E33EF" w:rsidRDefault="004E33EF" w:rsidP="004E33EF">
      <w:pPr>
        <w:pStyle w:val="ListParagraph"/>
        <w:numPr>
          <w:ilvl w:val="0"/>
          <w:numId w:val="1"/>
        </w:numPr>
      </w:pPr>
      <w:r>
        <w:t xml:space="preserve">Housing Benefit (HB), </w:t>
      </w:r>
      <w:r w:rsidR="00365E0B">
        <w:t>2022/23</w:t>
      </w:r>
    </w:p>
    <w:p w14:paraId="7359D981" w14:textId="1C1C6760" w:rsidR="004E33EF" w:rsidRDefault="004E33EF" w:rsidP="004E33EF">
      <w:pPr>
        <w:pStyle w:val="ListParagraph"/>
        <w:numPr>
          <w:ilvl w:val="0"/>
          <w:numId w:val="1"/>
        </w:numPr>
      </w:pPr>
      <w:r>
        <w:t xml:space="preserve">Flexible Food Fund (FFF), </w:t>
      </w:r>
      <w:r w:rsidR="00365E0B">
        <w:t>2022/23</w:t>
      </w:r>
    </w:p>
    <w:p w14:paraId="58FA1323" w14:textId="07701880" w:rsidR="004E33EF" w:rsidRDefault="004E33EF" w:rsidP="004E33EF">
      <w:pPr>
        <w:pStyle w:val="ListParagraph"/>
        <w:numPr>
          <w:ilvl w:val="0"/>
          <w:numId w:val="1"/>
        </w:numPr>
      </w:pPr>
      <w:r>
        <w:t>Free School Meals (FSM) SEEMIS Snapshot, June 202</w:t>
      </w:r>
      <w:r w:rsidR="00365E0B">
        <w:t>3</w:t>
      </w:r>
    </w:p>
    <w:p w14:paraId="0CBD0780" w14:textId="64F8ED13" w:rsidR="004E33EF" w:rsidRDefault="004E33EF" w:rsidP="004E33EF">
      <w:pPr>
        <w:pStyle w:val="ListParagraph"/>
        <w:numPr>
          <w:ilvl w:val="0"/>
          <w:numId w:val="1"/>
        </w:numPr>
      </w:pPr>
      <w:r>
        <w:t>MAMS Income Maximisation (IM), 202</w:t>
      </w:r>
      <w:r w:rsidR="00365E0B">
        <w:t>3</w:t>
      </w:r>
      <w:r>
        <w:t>/2</w:t>
      </w:r>
      <w:r w:rsidR="00365E0B">
        <w:t>3</w:t>
      </w:r>
    </w:p>
    <w:p w14:paraId="4AD56E8D" w14:textId="74E99B11" w:rsidR="004E33EF" w:rsidRDefault="004E33EF" w:rsidP="004E33EF">
      <w:pPr>
        <w:pStyle w:val="ListParagraph"/>
        <w:numPr>
          <w:ilvl w:val="0"/>
          <w:numId w:val="1"/>
        </w:numPr>
      </w:pPr>
      <w:r>
        <w:t>MAMS Money Advice (MA), 202</w:t>
      </w:r>
      <w:r w:rsidR="00365E0B">
        <w:t>2</w:t>
      </w:r>
      <w:r>
        <w:t>/2</w:t>
      </w:r>
      <w:r w:rsidR="00365E0B">
        <w:t>3</w:t>
      </w:r>
    </w:p>
    <w:p w14:paraId="78FEE1C6" w14:textId="22C649BE" w:rsidR="004E33EF" w:rsidRDefault="004E33EF" w:rsidP="004E33EF">
      <w:pPr>
        <w:pStyle w:val="ListParagraph"/>
        <w:numPr>
          <w:ilvl w:val="0"/>
          <w:numId w:val="1"/>
        </w:numPr>
      </w:pPr>
      <w:r>
        <w:t>MAMS Welfare Benefits (WB), 202</w:t>
      </w:r>
      <w:r w:rsidR="00365E0B">
        <w:t>2</w:t>
      </w:r>
      <w:r>
        <w:t>/2</w:t>
      </w:r>
      <w:r w:rsidR="00365E0B">
        <w:t>3</w:t>
      </w:r>
    </w:p>
    <w:p w14:paraId="65285EDD" w14:textId="42AA8696" w:rsidR="004E33EF" w:rsidRDefault="004E33EF" w:rsidP="004E33EF">
      <w:pPr>
        <w:pStyle w:val="ListParagraph"/>
        <w:numPr>
          <w:ilvl w:val="0"/>
          <w:numId w:val="1"/>
        </w:numPr>
      </w:pPr>
      <w:r>
        <w:t>Discretionary Housing Payments (DHP), 202</w:t>
      </w:r>
      <w:r w:rsidR="00365E0B">
        <w:t>2</w:t>
      </w:r>
      <w:r>
        <w:t>/2</w:t>
      </w:r>
      <w:r w:rsidR="00365E0B">
        <w:t>3</w:t>
      </w:r>
    </w:p>
    <w:p w14:paraId="58CC40E4" w14:textId="660F7272" w:rsidR="004E33EF" w:rsidRDefault="004E33EF" w:rsidP="004E33EF">
      <w:pPr>
        <w:pStyle w:val="ListParagraph"/>
        <w:numPr>
          <w:ilvl w:val="0"/>
          <w:numId w:val="1"/>
        </w:numPr>
      </w:pPr>
      <w:r>
        <w:t>Education Maintenance Allowance (EMA), 202</w:t>
      </w:r>
      <w:r w:rsidR="00365E0B">
        <w:t>2</w:t>
      </w:r>
      <w:r>
        <w:t>/2</w:t>
      </w:r>
      <w:r w:rsidR="00365E0B">
        <w:t>3</w:t>
      </w:r>
    </w:p>
    <w:p w14:paraId="2EE2474A" w14:textId="5A25313F" w:rsidR="004E33EF" w:rsidRDefault="004E33EF" w:rsidP="004E33EF">
      <w:pPr>
        <w:pStyle w:val="ListParagraph"/>
        <w:numPr>
          <w:ilvl w:val="0"/>
          <w:numId w:val="1"/>
        </w:numPr>
      </w:pPr>
      <w:r>
        <w:t>Scottish Welfare Fund (SWF), 202</w:t>
      </w:r>
      <w:r w:rsidR="00365E0B">
        <w:t>2</w:t>
      </w:r>
      <w:r>
        <w:t>/2</w:t>
      </w:r>
      <w:r w:rsidR="00365E0B">
        <w:t>3</w:t>
      </w:r>
    </w:p>
    <w:p w14:paraId="6356D2C4" w14:textId="66D8DF51" w:rsidR="005C3211" w:rsidRDefault="005C3211" w:rsidP="004E33EF">
      <w:pPr>
        <w:pStyle w:val="ListParagraph"/>
        <w:numPr>
          <w:ilvl w:val="0"/>
          <w:numId w:val="1"/>
        </w:numPr>
      </w:pPr>
      <w:r>
        <w:t>Crisis Grants</w:t>
      </w:r>
      <w:r w:rsidR="00365E0B">
        <w:t>, 2022/23</w:t>
      </w:r>
    </w:p>
    <w:p w14:paraId="519837C5" w14:textId="2F433A08" w:rsidR="00365E0B" w:rsidRDefault="00365E0B" w:rsidP="004E33EF">
      <w:pPr>
        <w:pStyle w:val="ListParagraph"/>
        <w:numPr>
          <w:ilvl w:val="0"/>
          <w:numId w:val="1"/>
        </w:numPr>
      </w:pPr>
      <w:r>
        <w:t>Community Care Grants, 2022/23</w:t>
      </w:r>
    </w:p>
    <w:p w14:paraId="67245C8E" w14:textId="4DE46C1B" w:rsidR="00365E0B" w:rsidRDefault="00365E0B" w:rsidP="004E33EF">
      <w:pPr>
        <w:pStyle w:val="ListParagraph"/>
        <w:numPr>
          <w:ilvl w:val="0"/>
          <w:numId w:val="1"/>
        </w:numPr>
      </w:pPr>
      <w:r>
        <w:t>Moray Food Plus, 2022/23</w:t>
      </w:r>
    </w:p>
    <w:p w14:paraId="7D1B6C0C" w14:textId="77777777" w:rsidR="00907F95" w:rsidRPr="0014116B" w:rsidRDefault="00907F95" w:rsidP="00907F95"/>
    <w:sectPr w:rsidR="00907F95" w:rsidRPr="0014116B" w:rsidSect="00140B39">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ABEFE" w14:textId="77777777" w:rsidR="00140B39" w:rsidRDefault="00140B39" w:rsidP="00FF6D25">
      <w:pPr>
        <w:spacing w:before="0" w:after="0" w:line="240" w:lineRule="auto"/>
      </w:pPr>
      <w:r>
        <w:separator/>
      </w:r>
    </w:p>
  </w:endnote>
  <w:endnote w:type="continuationSeparator" w:id="0">
    <w:p w14:paraId="6186468C" w14:textId="77777777" w:rsidR="00140B39" w:rsidRDefault="00140B39" w:rsidP="00FF6D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EE84C" w14:textId="77777777" w:rsidR="00140B39" w:rsidRDefault="00140B39" w:rsidP="00FF6D25">
      <w:pPr>
        <w:spacing w:before="0" w:after="0" w:line="240" w:lineRule="auto"/>
      </w:pPr>
      <w:r>
        <w:separator/>
      </w:r>
    </w:p>
  </w:footnote>
  <w:footnote w:type="continuationSeparator" w:id="0">
    <w:p w14:paraId="350FFCF9" w14:textId="77777777" w:rsidR="00140B39" w:rsidRDefault="00140B39" w:rsidP="00FF6D25">
      <w:pPr>
        <w:spacing w:before="0" w:after="0" w:line="240" w:lineRule="auto"/>
      </w:pPr>
      <w:r>
        <w:continuationSeparator/>
      </w:r>
    </w:p>
  </w:footnote>
  <w:footnote w:id="1">
    <w:p w14:paraId="0D074BBB" w14:textId="2F352E3F" w:rsidR="004B507E" w:rsidRDefault="004B507E">
      <w:pPr>
        <w:pStyle w:val="FootnoteText"/>
      </w:pPr>
      <w:r>
        <w:rPr>
          <w:rStyle w:val="FootnoteReference"/>
        </w:rPr>
        <w:footnoteRef/>
      </w:r>
      <w:r>
        <w:t xml:space="preserve"> The definition of poverty in this report relates to Relative Poverty / Child Poverty – described as: People / Children </w:t>
      </w:r>
      <w:r w:rsidRPr="008D184A">
        <w:t>living in households whose equivalised income is below 60% of UK median income in the same year</w:t>
      </w:r>
      <w:r>
        <w:t xml:space="preserve"> after housing costs (AHC).</w:t>
      </w:r>
    </w:p>
  </w:footnote>
  <w:footnote w:id="2">
    <w:p w14:paraId="11ADE85C" w14:textId="27C4D052" w:rsidR="00555003" w:rsidRDefault="00555003">
      <w:pPr>
        <w:pStyle w:val="FootnoteText"/>
      </w:pPr>
      <w:r>
        <w:rPr>
          <w:rStyle w:val="FootnoteReference"/>
        </w:rPr>
        <w:footnoteRef/>
      </w:r>
      <w:r>
        <w:t xml:space="preserve"> </w:t>
      </w:r>
      <w:r w:rsidR="005C3211">
        <w:t>Official Census and Labour Market Statistics (</w:t>
      </w:r>
      <w:r>
        <w:t>NOMIS</w:t>
      </w:r>
      <w:r w:rsidR="005C3211">
        <w:t>)</w:t>
      </w:r>
    </w:p>
  </w:footnote>
  <w:footnote w:id="3">
    <w:p w14:paraId="4A88DCE5" w14:textId="21102881" w:rsidR="00E62761" w:rsidRDefault="00E62761">
      <w:pPr>
        <w:pStyle w:val="FootnoteText"/>
      </w:pPr>
      <w:r>
        <w:rPr>
          <w:rStyle w:val="FootnoteReference"/>
        </w:rPr>
        <w:footnoteRef/>
      </w:r>
      <w:r>
        <w:t xml:space="preserve"> </w:t>
      </w:r>
      <w:r w:rsidRPr="00811BE8">
        <w:t xml:space="preserve">A data zone contains </w:t>
      </w:r>
      <w:r>
        <w:t>between</w:t>
      </w:r>
      <w:r w:rsidRPr="00811BE8">
        <w:t xml:space="preserve"> 500 to 1,000 people. They are made up from groups of census output areas.</w:t>
      </w:r>
      <w:r>
        <w:t xml:space="preserve"> There are 126 Data Zones in Moray.</w:t>
      </w:r>
    </w:p>
  </w:footnote>
  <w:footnote w:id="4">
    <w:p w14:paraId="1088D5BB" w14:textId="4A6950C7" w:rsidR="00972316" w:rsidRDefault="00972316">
      <w:pPr>
        <w:pStyle w:val="FootnoteText"/>
      </w:pPr>
      <w:r>
        <w:rPr>
          <w:rStyle w:val="FootnoteReference"/>
        </w:rPr>
        <w:footnoteRef/>
      </w:r>
      <w:r>
        <w:t xml:space="preserve"> Each postcode covers an average of 15 properties. Over 6,100 postcodes exist in Moray.</w:t>
      </w:r>
    </w:p>
  </w:footnote>
  <w:footnote w:id="5">
    <w:p w14:paraId="07C0ADC4" w14:textId="5A962F1C" w:rsidR="003D2B7B" w:rsidRDefault="003D2B7B">
      <w:pPr>
        <w:pStyle w:val="FootnoteText"/>
      </w:pPr>
      <w:r>
        <w:rPr>
          <w:rStyle w:val="FootnoteReference"/>
        </w:rPr>
        <w:footnoteRef/>
      </w:r>
      <w:r>
        <w:t xml:space="preserve"> </w:t>
      </w:r>
      <w:r w:rsidRPr="00FF6D25">
        <w:t>Census Output Areas (OAs) and Super Output Areas (SOAs) are geographical areas developed from Census 2001 information. OAs are the smallest unit, covering around 125 households.</w:t>
      </w:r>
    </w:p>
  </w:footnote>
  <w:footnote w:id="6">
    <w:p w14:paraId="044AF55F" w14:textId="77777777" w:rsidR="003D2B7B" w:rsidRDefault="003D2B7B" w:rsidP="003D2B7B">
      <w:pPr>
        <w:pStyle w:val="FootnoteText"/>
      </w:pPr>
      <w:r>
        <w:rPr>
          <w:rStyle w:val="FootnoteReference"/>
        </w:rPr>
        <w:footnoteRef/>
      </w:r>
      <w:r>
        <w:t xml:space="preserve"> Larger geographical areas containing an average of around 4,000 people. There are 24 Intermediate Zones in Moray.</w:t>
      </w:r>
    </w:p>
  </w:footnote>
  <w:footnote w:id="7">
    <w:p w14:paraId="29D69B0D" w14:textId="2FB94BAE" w:rsidR="00A3157C" w:rsidRDefault="00A3157C">
      <w:pPr>
        <w:pStyle w:val="FootnoteText"/>
      </w:pPr>
      <w:r>
        <w:rPr>
          <w:rStyle w:val="FootnoteReference"/>
        </w:rPr>
        <w:footnoteRef/>
      </w:r>
      <w:r>
        <w:t xml:space="preserve"> SIMD2020 ranks every Data Zone from Decile 1 to 10, with 1 having the highest levels of deprivation. An average is taken from the Data Zone total </w:t>
      </w:r>
      <w:r w:rsidR="00425E44">
        <w:t xml:space="preserve">to provide an </w:t>
      </w:r>
      <w:r>
        <w:t>Intermediate Zone</w:t>
      </w:r>
      <w:r w:rsidR="00425E44">
        <w:t xml:space="preserve"> average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67FCF"/>
    <w:multiLevelType w:val="hybridMultilevel"/>
    <w:tmpl w:val="C93EF05A"/>
    <w:lvl w:ilvl="0" w:tplc="0776895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69A13D2"/>
    <w:multiLevelType w:val="hybridMultilevel"/>
    <w:tmpl w:val="30D0E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356907"/>
    <w:multiLevelType w:val="hybridMultilevel"/>
    <w:tmpl w:val="EFFC589C"/>
    <w:lvl w:ilvl="0" w:tplc="2222E5E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EF48F6"/>
    <w:multiLevelType w:val="hybridMultilevel"/>
    <w:tmpl w:val="B03A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962324">
    <w:abstractNumId w:val="0"/>
  </w:num>
  <w:num w:numId="2" w16cid:durableId="785196032">
    <w:abstractNumId w:val="2"/>
  </w:num>
  <w:num w:numId="3" w16cid:durableId="1479421593">
    <w:abstractNumId w:val="1"/>
  </w:num>
  <w:num w:numId="4" w16cid:durableId="1915553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CB5"/>
    <w:rsid w:val="0000275E"/>
    <w:rsid w:val="000039CC"/>
    <w:rsid w:val="00003DFF"/>
    <w:rsid w:val="000043D4"/>
    <w:rsid w:val="00011062"/>
    <w:rsid w:val="00011B68"/>
    <w:rsid w:val="00012ED3"/>
    <w:rsid w:val="00012EE1"/>
    <w:rsid w:val="0001346E"/>
    <w:rsid w:val="00013A0D"/>
    <w:rsid w:val="00014794"/>
    <w:rsid w:val="0001717B"/>
    <w:rsid w:val="0001727D"/>
    <w:rsid w:val="00024EDD"/>
    <w:rsid w:val="000258D5"/>
    <w:rsid w:val="00027509"/>
    <w:rsid w:val="000341FC"/>
    <w:rsid w:val="000417F5"/>
    <w:rsid w:val="00044356"/>
    <w:rsid w:val="00045840"/>
    <w:rsid w:val="00047A5D"/>
    <w:rsid w:val="00051342"/>
    <w:rsid w:val="00053C92"/>
    <w:rsid w:val="00060C0E"/>
    <w:rsid w:val="00060F48"/>
    <w:rsid w:val="00061581"/>
    <w:rsid w:val="000615DE"/>
    <w:rsid w:val="00061823"/>
    <w:rsid w:val="0006195A"/>
    <w:rsid w:val="00061F7F"/>
    <w:rsid w:val="00067988"/>
    <w:rsid w:val="00070377"/>
    <w:rsid w:val="0007045B"/>
    <w:rsid w:val="000706F2"/>
    <w:rsid w:val="000717E7"/>
    <w:rsid w:val="000728B1"/>
    <w:rsid w:val="000729C1"/>
    <w:rsid w:val="00073BC9"/>
    <w:rsid w:val="00074852"/>
    <w:rsid w:val="00075182"/>
    <w:rsid w:val="000814F0"/>
    <w:rsid w:val="0008449A"/>
    <w:rsid w:val="000908B3"/>
    <w:rsid w:val="00091153"/>
    <w:rsid w:val="00091692"/>
    <w:rsid w:val="00095208"/>
    <w:rsid w:val="00095D3A"/>
    <w:rsid w:val="00096D9B"/>
    <w:rsid w:val="000978EA"/>
    <w:rsid w:val="000A03BA"/>
    <w:rsid w:val="000A218F"/>
    <w:rsid w:val="000A3447"/>
    <w:rsid w:val="000A3B69"/>
    <w:rsid w:val="000A536F"/>
    <w:rsid w:val="000A5CA8"/>
    <w:rsid w:val="000A67CE"/>
    <w:rsid w:val="000A6B5D"/>
    <w:rsid w:val="000A7208"/>
    <w:rsid w:val="000A7DB5"/>
    <w:rsid w:val="000B0819"/>
    <w:rsid w:val="000B27FA"/>
    <w:rsid w:val="000B62BC"/>
    <w:rsid w:val="000B7087"/>
    <w:rsid w:val="000B7DEB"/>
    <w:rsid w:val="000C110E"/>
    <w:rsid w:val="000C1EF1"/>
    <w:rsid w:val="000C2E11"/>
    <w:rsid w:val="000C36C3"/>
    <w:rsid w:val="000C48AA"/>
    <w:rsid w:val="000C5648"/>
    <w:rsid w:val="000D254F"/>
    <w:rsid w:val="000D56CF"/>
    <w:rsid w:val="000D5B2D"/>
    <w:rsid w:val="000D716F"/>
    <w:rsid w:val="000D7ECD"/>
    <w:rsid w:val="000E132D"/>
    <w:rsid w:val="000E3BC9"/>
    <w:rsid w:val="000E3C36"/>
    <w:rsid w:val="000E533C"/>
    <w:rsid w:val="000E6280"/>
    <w:rsid w:val="000E7B48"/>
    <w:rsid w:val="000F0556"/>
    <w:rsid w:val="000F149E"/>
    <w:rsid w:val="000F54D9"/>
    <w:rsid w:val="000F5B4C"/>
    <w:rsid w:val="000F7677"/>
    <w:rsid w:val="0010141D"/>
    <w:rsid w:val="0010168D"/>
    <w:rsid w:val="00101F5D"/>
    <w:rsid w:val="0010377F"/>
    <w:rsid w:val="00103E67"/>
    <w:rsid w:val="001064F3"/>
    <w:rsid w:val="0011584F"/>
    <w:rsid w:val="001200C5"/>
    <w:rsid w:val="00121530"/>
    <w:rsid w:val="00121EF4"/>
    <w:rsid w:val="00124147"/>
    <w:rsid w:val="0012472A"/>
    <w:rsid w:val="0012476E"/>
    <w:rsid w:val="00126643"/>
    <w:rsid w:val="00131915"/>
    <w:rsid w:val="00131E2B"/>
    <w:rsid w:val="00132B27"/>
    <w:rsid w:val="001342CE"/>
    <w:rsid w:val="001363F5"/>
    <w:rsid w:val="00136977"/>
    <w:rsid w:val="00137032"/>
    <w:rsid w:val="0013720E"/>
    <w:rsid w:val="00140B39"/>
    <w:rsid w:val="0014116B"/>
    <w:rsid w:val="00147378"/>
    <w:rsid w:val="00151383"/>
    <w:rsid w:val="00151BE4"/>
    <w:rsid w:val="0015374B"/>
    <w:rsid w:val="00153822"/>
    <w:rsid w:val="00153F50"/>
    <w:rsid w:val="00154B78"/>
    <w:rsid w:val="00156765"/>
    <w:rsid w:val="001662DF"/>
    <w:rsid w:val="001710BF"/>
    <w:rsid w:val="001735E1"/>
    <w:rsid w:val="00173AD9"/>
    <w:rsid w:val="0017620A"/>
    <w:rsid w:val="0018277E"/>
    <w:rsid w:val="001874E2"/>
    <w:rsid w:val="00187733"/>
    <w:rsid w:val="00187977"/>
    <w:rsid w:val="00192AC4"/>
    <w:rsid w:val="0019328D"/>
    <w:rsid w:val="001933AC"/>
    <w:rsid w:val="00195D73"/>
    <w:rsid w:val="00197200"/>
    <w:rsid w:val="001A2846"/>
    <w:rsid w:val="001A3C5B"/>
    <w:rsid w:val="001A3C5F"/>
    <w:rsid w:val="001A4FFF"/>
    <w:rsid w:val="001A5241"/>
    <w:rsid w:val="001A57B3"/>
    <w:rsid w:val="001A5965"/>
    <w:rsid w:val="001A6D1D"/>
    <w:rsid w:val="001B08FB"/>
    <w:rsid w:val="001B639E"/>
    <w:rsid w:val="001B6EB1"/>
    <w:rsid w:val="001C0720"/>
    <w:rsid w:val="001C34F7"/>
    <w:rsid w:val="001C3B61"/>
    <w:rsid w:val="001C5334"/>
    <w:rsid w:val="001C5AD9"/>
    <w:rsid w:val="001C73EE"/>
    <w:rsid w:val="001C74F3"/>
    <w:rsid w:val="001D0A32"/>
    <w:rsid w:val="001D37E5"/>
    <w:rsid w:val="001D5E40"/>
    <w:rsid w:val="001D7229"/>
    <w:rsid w:val="001D7E97"/>
    <w:rsid w:val="001E3DBA"/>
    <w:rsid w:val="001E521E"/>
    <w:rsid w:val="001F2A05"/>
    <w:rsid w:val="001F2EB5"/>
    <w:rsid w:val="001F2FEC"/>
    <w:rsid w:val="001F46E1"/>
    <w:rsid w:val="001F6EAF"/>
    <w:rsid w:val="001F75B1"/>
    <w:rsid w:val="00202908"/>
    <w:rsid w:val="00205737"/>
    <w:rsid w:val="00206D2B"/>
    <w:rsid w:val="00206F35"/>
    <w:rsid w:val="00211DCB"/>
    <w:rsid w:val="00214CBE"/>
    <w:rsid w:val="00215F21"/>
    <w:rsid w:val="00217518"/>
    <w:rsid w:val="00217578"/>
    <w:rsid w:val="002209A2"/>
    <w:rsid w:val="002210F6"/>
    <w:rsid w:val="0022223C"/>
    <w:rsid w:val="00231662"/>
    <w:rsid w:val="002340F3"/>
    <w:rsid w:val="00236006"/>
    <w:rsid w:val="002408D0"/>
    <w:rsid w:val="002424DD"/>
    <w:rsid w:val="0024425E"/>
    <w:rsid w:val="002463CE"/>
    <w:rsid w:val="00247A40"/>
    <w:rsid w:val="00247CFE"/>
    <w:rsid w:val="00253E77"/>
    <w:rsid w:val="00254D23"/>
    <w:rsid w:val="0025620C"/>
    <w:rsid w:val="00257D19"/>
    <w:rsid w:val="00260F4F"/>
    <w:rsid w:val="002618D6"/>
    <w:rsid w:val="00262E70"/>
    <w:rsid w:val="00263F50"/>
    <w:rsid w:val="002640E5"/>
    <w:rsid w:val="00264837"/>
    <w:rsid w:val="002659D1"/>
    <w:rsid w:val="002662EE"/>
    <w:rsid w:val="00270074"/>
    <w:rsid w:val="002828B9"/>
    <w:rsid w:val="00291C80"/>
    <w:rsid w:val="002947E6"/>
    <w:rsid w:val="00295CC9"/>
    <w:rsid w:val="0029698D"/>
    <w:rsid w:val="00296AE0"/>
    <w:rsid w:val="002A091C"/>
    <w:rsid w:val="002A0C28"/>
    <w:rsid w:val="002A2CCC"/>
    <w:rsid w:val="002A5F5B"/>
    <w:rsid w:val="002A65B1"/>
    <w:rsid w:val="002B1445"/>
    <w:rsid w:val="002B3EC7"/>
    <w:rsid w:val="002B48AC"/>
    <w:rsid w:val="002B50F5"/>
    <w:rsid w:val="002B5109"/>
    <w:rsid w:val="002B6F70"/>
    <w:rsid w:val="002C1311"/>
    <w:rsid w:val="002C2485"/>
    <w:rsid w:val="002C2AFA"/>
    <w:rsid w:val="002C46FF"/>
    <w:rsid w:val="002C4A41"/>
    <w:rsid w:val="002C71E6"/>
    <w:rsid w:val="002D0BBB"/>
    <w:rsid w:val="002D6EA7"/>
    <w:rsid w:val="002E0A63"/>
    <w:rsid w:val="002E1217"/>
    <w:rsid w:val="002E6AF6"/>
    <w:rsid w:val="002E733B"/>
    <w:rsid w:val="002E7918"/>
    <w:rsid w:val="002F2A66"/>
    <w:rsid w:val="002F3715"/>
    <w:rsid w:val="002F41AE"/>
    <w:rsid w:val="002F495C"/>
    <w:rsid w:val="002F5250"/>
    <w:rsid w:val="002F5B52"/>
    <w:rsid w:val="00304120"/>
    <w:rsid w:val="00305C40"/>
    <w:rsid w:val="003062A7"/>
    <w:rsid w:val="00307087"/>
    <w:rsid w:val="00307760"/>
    <w:rsid w:val="00307FCB"/>
    <w:rsid w:val="003100E5"/>
    <w:rsid w:val="00315D3E"/>
    <w:rsid w:val="0032141F"/>
    <w:rsid w:val="00324AF4"/>
    <w:rsid w:val="00327879"/>
    <w:rsid w:val="003327F7"/>
    <w:rsid w:val="00335032"/>
    <w:rsid w:val="00340C83"/>
    <w:rsid w:val="003417BA"/>
    <w:rsid w:val="003438DD"/>
    <w:rsid w:val="00343B38"/>
    <w:rsid w:val="00345C21"/>
    <w:rsid w:val="0035072B"/>
    <w:rsid w:val="003507D6"/>
    <w:rsid w:val="00353158"/>
    <w:rsid w:val="003541FE"/>
    <w:rsid w:val="00356C14"/>
    <w:rsid w:val="00364357"/>
    <w:rsid w:val="00365E0B"/>
    <w:rsid w:val="003668E3"/>
    <w:rsid w:val="003705FC"/>
    <w:rsid w:val="003712D8"/>
    <w:rsid w:val="003734AC"/>
    <w:rsid w:val="0037403D"/>
    <w:rsid w:val="0037434F"/>
    <w:rsid w:val="00374742"/>
    <w:rsid w:val="00375563"/>
    <w:rsid w:val="003773B5"/>
    <w:rsid w:val="0038121A"/>
    <w:rsid w:val="0038127B"/>
    <w:rsid w:val="0038425E"/>
    <w:rsid w:val="00386770"/>
    <w:rsid w:val="003928D3"/>
    <w:rsid w:val="00393592"/>
    <w:rsid w:val="003A1831"/>
    <w:rsid w:val="003A4204"/>
    <w:rsid w:val="003A4CD0"/>
    <w:rsid w:val="003A4FCA"/>
    <w:rsid w:val="003A7F8B"/>
    <w:rsid w:val="003B0A83"/>
    <w:rsid w:val="003B2B4C"/>
    <w:rsid w:val="003B3A2E"/>
    <w:rsid w:val="003B5139"/>
    <w:rsid w:val="003B6582"/>
    <w:rsid w:val="003B7BDD"/>
    <w:rsid w:val="003C0988"/>
    <w:rsid w:val="003C3E4A"/>
    <w:rsid w:val="003D20B3"/>
    <w:rsid w:val="003D2B7B"/>
    <w:rsid w:val="003D4510"/>
    <w:rsid w:val="003D4533"/>
    <w:rsid w:val="003D4AC7"/>
    <w:rsid w:val="003D673E"/>
    <w:rsid w:val="003D6B43"/>
    <w:rsid w:val="003E2061"/>
    <w:rsid w:val="003E3592"/>
    <w:rsid w:val="003E4BBB"/>
    <w:rsid w:val="003F534E"/>
    <w:rsid w:val="003F55A2"/>
    <w:rsid w:val="003F6354"/>
    <w:rsid w:val="00400342"/>
    <w:rsid w:val="0040058F"/>
    <w:rsid w:val="00402EF1"/>
    <w:rsid w:val="00404802"/>
    <w:rsid w:val="00404A47"/>
    <w:rsid w:val="0040596E"/>
    <w:rsid w:val="00411666"/>
    <w:rsid w:val="00415699"/>
    <w:rsid w:val="0041642A"/>
    <w:rsid w:val="00420FEB"/>
    <w:rsid w:val="00422F6D"/>
    <w:rsid w:val="0042367F"/>
    <w:rsid w:val="00425113"/>
    <w:rsid w:val="00425E44"/>
    <w:rsid w:val="00426FC0"/>
    <w:rsid w:val="004325FE"/>
    <w:rsid w:val="00435047"/>
    <w:rsid w:val="00437FAB"/>
    <w:rsid w:val="00441704"/>
    <w:rsid w:val="00447B17"/>
    <w:rsid w:val="004523ED"/>
    <w:rsid w:val="004524DB"/>
    <w:rsid w:val="004572BD"/>
    <w:rsid w:val="00460B15"/>
    <w:rsid w:val="004632CD"/>
    <w:rsid w:val="00467BFB"/>
    <w:rsid w:val="00467ECD"/>
    <w:rsid w:val="00471CA4"/>
    <w:rsid w:val="0047266D"/>
    <w:rsid w:val="00482C03"/>
    <w:rsid w:val="0048791B"/>
    <w:rsid w:val="00487BBE"/>
    <w:rsid w:val="0049007C"/>
    <w:rsid w:val="00491B43"/>
    <w:rsid w:val="00494413"/>
    <w:rsid w:val="0049765C"/>
    <w:rsid w:val="004A0D85"/>
    <w:rsid w:val="004A1CF9"/>
    <w:rsid w:val="004A70EC"/>
    <w:rsid w:val="004A7B13"/>
    <w:rsid w:val="004B021E"/>
    <w:rsid w:val="004B05C1"/>
    <w:rsid w:val="004B30CF"/>
    <w:rsid w:val="004B47C1"/>
    <w:rsid w:val="004B4969"/>
    <w:rsid w:val="004B507E"/>
    <w:rsid w:val="004B7500"/>
    <w:rsid w:val="004C08E8"/>
    <w:rsid w:val="004C3ABC"/>
    <w:rsid w:val="004C4211"/>
    <w:rsid w:val="004C745C"/>
    <w:rsid w:val="004D0CC1"/>
    <w:rsid w:val="004D1BBC"/>
    <w:rsid w:val="004D4650"/>
    <w:rsid w:val="004D4655"/>
    <w:rsid w:val="004E0D05"/>
    <w:rsid w:val="004E2A9A"/>
    <w:rsid w:val="004E33EF"/>
    <w:rsid w:val="004E3A07"/>
    <w:rsid w:val="004E4D1B"/>
    <w:rsid w:val="004E512A"/>
    <w:rsid w:val="004E60EF"/>
    <w:rsid w:val="004E6F93"/>
    <w:rsid w:val="004F0616"/>
    <w:rsid w:val="004F0F2A"/>
    <w:rsid w:val="004F2584"/>
    <w:rsid w:val="004F3923"/>
    <w:rsid w:val="004F5238"/>
    <w:rsid w:val="004F7C9D"/>
    <w:rsid w:val="00501BEE"/>
    <w:rsid w:val="00503D82"/>
    <w:rsid w:val="00505D5D"/>
    <w:rsid w:val="00523CF2"/>
    <w:rsid w:val="0052746C"/>
    <w:rsid w:val="005301FF"/>
    <w:rsid w:val="00530D0B"/>
    <w:rsid w:val="00535D33"/>
    <w:rsid w:val="005371CF"/>
    <w:rsid w:val="00542E9E"/>
    <w:rsid w:val="005455EE"/>
    <w:rsid w:val="005467E3"/>
    <w:rsid w:val="00550A74"/>
    <w:rsid w:val="005531BC"/>
    <w:rsid w:val="00555003"/>
    <w:rsid w:val="00555E21"/>
    <w:rsid w:val="00557067"/>
    <w:rsid w:val="0055768D"/>
    <w:rsid w:val="0056142C"/>
    <w:rsid w:val="00562657"/>
    <w:rsid w:val="0056782E"/>
    <w:rsid w:val="005703CC"/>
    <w:rsid w:val="00571EDB"/>
    <w:rsid w:val="005732CF"/>
    <w:rsid w:val="00577E76"/>
    <w:rsid w:val="0058313B"/>
    <w:rsid w:val="005835DE"/>
    <w:rsid w:val="00584998"/>
    <w:rsid w:val="00584D8C"/>
    <w:rsid w:val="00586598"/>
    <w:rsid w:val="00590622"/>
    <w:rsid w:val="00592C47"/>
    <w:rsid w:val="005A2F2E"/>
    <w:rsid w:val="005A500A"/>
    <w:rsid w:val="005A54A0"/>
    <w:rsid w:val="005B1A0D"/>
    <w:rsid w:val="005B6993"/>
    <w:rsid w:val="005B7E2A"/>
    <w:rsid w:val="005C2C8B"/>
    <w:rsid w:val="005C3211"/>
    <w:rsid w:val="005C34F1"/>
    <w:rsid w:val="005C453E"/>
    <w:rsid w:val="005C5BCC"/>
    <w:rsid w:val="005D38BE"/>
    <w:rsid w:val="005D4EEE"/>
    <w:rsid w:val="005E0F31"/>
    <w:rsid w:val="005E4CC2"/>
    <w:rsid w:val="005F0C8E"/>
    <w:rsid w:val="005F4519"/>
    <w:rsid w:val="005F5C8E"/>
    <w:rsid w:val="00600061"/>
    <w:rsid w:val="00601249"/>
    <w:rsid w:val="00601633"/>
    <w:rsid w:val="00605D28"/>
    <w:rsid w:val="00614DEE"/>
    <w:rsid w:val="006162B5"/>
    <w:rsid w:val="006171B0"/>
    <w:rsid w:val="00617ACE"/>
    <w:rsid w:val="006223F9"/>
    <w:rsid w:val="00624F7D"/>
    <w:rsid w:val="006258FB"/>
    <w:rsid w:val="006309CA"/>
    <w:rsid w:val="00630F21"/>
    <w:rsid w:val="00631156"/>
    <w:rsid w:val="00635AC9"/>
    <w:rsid w:val="006366F1"/>
    <w:rsid w:val="006420F8"/>
    <w:rsid w:val="006426E4"/>
    <w:rsid w:val="00644C03"/>
    <w:rsid w:val="00644C4D"/>
    <w:rsid w:val="00646F76"/>
    <w:rsid w:val="006473F3"/>
    <w:rsid w:val="00647F89"/>
    <w:rsid w:val="00654D57"/>
    <w:rsid w:val="00662582"/>
    <w:rsid w:val="00662FFA"/>
    <w:rsid w:val="006645F1"/>
    <w:rsid w:val="006737B0"/>
    <w:rsid w:val="006739DC"/>
    <w:rsid w:val="006750BA"/>
    <w:rsid w:val="00676C3E"/>
    <w:rsid w:val="006773F7"/>
    <w:rsid w:val="00677B93"/>
    <w:rsid w:val="006837BC"/>
    <w:rsid w:val="00685FB6"/>
    <w:rsid w:val="006A07B9"/>
    <w:rsid w:val="006A3177"/>
    <w:rsid w:val="006A6699"/>
    <w:rsid w:val="006B03F2"/>
    <w:rsid w:val="006B1476"/>
    <w:rsid w:val="006B3CC5"/>
    <w:rsid w:val="006B73A9"/>
    <w:rsid w:val="006B75E0"/>
    <w:rsid w:val="006C1B16"/>
    <w:rsid w:val="006C5B05"/>
    <w:rsid w:val="006C5DBD"/>
    <w:rsid w:val="006C6472"/>
    <w:rsid w:val="006C7799"/>
    <w:rsid w:val="006D4B1B"/>
    <w:rsid w:val="006D4E3A"/>
    <w:rsid w:val="006D579D"/>
    <w:rsid w:val="006E1163"/>
    <w:rsid w:val="006E617E"/>
    <w:rsid w:val="007000AC"/>
    <w:rsid w:val="007034EA"/>
    <w:rsid w:val="0070664D"/>
    <w:rsid w:val="007079BA"/>
    <w:rsid w:val="007114EC"/>
    <w:rsid w:val="00713B1A"/>
    <w:rsid w:val="00716241"/>
    <w:rsid w:val="00717F9A"/>
    <w:rsid w:val="007205C5"/>
    <w:rsid w:val="00721578"/>
    <w:rsid w:val="00723922"/>
    <w:rsid w:val="00723BE3"/>
    <w:rsid w:val="00725B2D"/>
    <w:rsid w:val="00725F9E"/>
    <w:rsid w:val="00726CB0"/>
    <w:rsid w:val="00731723"/>
    <w:rsid w:val="00733806"/>
    <w:rsid w:val="00734F43"/>
    <w:rsid w:val="00736EAF"/>
    <w:rsid w:val="00742EAE"/>
    <w:rsid w:val="007459F1"/>
    <w:rsid w:val="00750222"/>
    <w:rsid w:val="007526FC"/>
    <w:rsid w:val="00753401"/>
    <w:rsid w:val="00753938"/>
    <w:rsid w:val="00753F46"/>
    <w:rsid w:val="007566D1"/>
    <w:rsid w:val="007574EE"/>
    <w:rsid w:val="007628E3"/>
    <w:rsid w:val="007641A2"/>
    <w:rsid w:val="00764C67"/>
    <w:rsid w:val="00766D89"/>
    <w:rsid w:val="00767585"/>
    <w:rsid w:val="00767C88"/>
    <w:rsid w:val="00771FF3"/>
    <w:rsid w:val="007721BC"/>
    <w:rsid w:val="00772963"/>
    <w:rsid w:val="007744F6"/>
    <w:rsid w:val="007822C3"/>
    <w:rsid w:val="00784FB9"/>
    <w:rsid w:val="00790778"/>
    <w:rsid w:val="00792743"/>
    <w:rsid w:val="00793C7B"/>
    <w:rsid w:val="0079428D"/>
    <w:rsid w:val="007A0331"/>
    <w:rsid w:val="007A37D1"/>
    <w:rsid w:val="007A4C1F"/>
    <w:rsid w:val="007A613A"/>
    <w:rsid w:val="007A65AA"/>
    <w:rsid w:val="007B00F4"/>
    <w:rsid w:val="007B549F"/>
    <w:rsid w:val="007B7808"/>
    <w:rsid w:val="007B7C1D"/>
    <w:rsid w:val="007C2163"/>
    <w:rsid w:val="007C4B7E"/>
    <w:rsid w:val="007E0638"/>
    <w:rsid w:val="007E7AB7"/>
    <w:rsid w:val="007E7C46"/>
    <w:rsid w:val="007F38A1"/>
    <w:rsid w:val="00800298"/>
    <w:rsid w:val="00800F0F"/>
    <w:rsid w:val="00801F91"/>
    <w:rsid w:val="00803E17"/>
    <w:rsid w:val="00804026"/>
    <w:rsid w:val="00807D55"/>
    <w:rsid w:val="00811BE8"/>
    <w:rsid w:val="00820AA4"/>
    <w:rsid w:val="00822151"/>
    <w:rsid w:val="0082404C"/>
    <w:rsid w:val="0082421E"/>
    <w:rsid w:val="00824DDF"/>
    <w:rsid w:val="008251E5"/>
    <w:rsid w:val="00830D1F"/>
    <w:rsid w:val="008311B8"/>
    <w:rsid w:val="008331C8"/>
    <w:rsid w:val="00833654"/>
    <w:rsid w:val="00835C7B"/>
    <w:rsid w:val="008475B8"/>
    <w:rsid w:val="00847E38"/>
    <w:rsid w:val="00852512"/>
    <w:rsid w:val="00861CE1"/>
    <w:rsid w:val="00864F6D"/>
    <w:rsid w:val="00865E14"/>
    <w:rsid w:val="00866289"/>
    <w:rsid w:val="00866863"/>
    <w:rsid w:val="00866C3A"/>
    <w:rsid w:val="00866D6E"/>
    <w:rsid w:val="00867045"/>
    <w:rsid w:val="00871467"/>
    <w:rsid w:val="00872C9B"/>
    <w:rsid w:val="008754E2"/>
    <w:rsid w:val="0088012E"/>
    <w:rsid w:val="00880F4C"/>
    <w:rsid w:val="008903C0"/>
    <w:rsid w:val="0089430E"/>
    <w:rsid w:val="0089449C"/>
    <w:rsid w:val="008A3CD2"/>
    <w:rsid w:val="008A48EB"/>
    <w:rsid w:val="008A697E"/>
    <w:rsid w:val="008A6E00"/>
    <w:rsid w:val="008B05E8"/>
    <w:rsid w:val="008B5F31"/>
    <w:rsid w:val="008B7216"/>
    <w:rsid w:val="008B7569"/>
    <w:rsid w:val="008C5C77"/>
    <w:rsid w:val="008D184A"/>
    <w:rsid w:val="008D2821"/>
    <w:rsid w:val="008D3338"/>
    <w:rsid w:val="008D60C4"/>
    <w:rsid w:val="008E1207"/>
    <w:rsid w:val="008E213B"/>
    <w:rsid w:val="008E5F5A"/>
    <w:rsid w:val="008E74C1"/>
    <w:rsid w:val="008F01FD"/>
    <w:rsid w:val="008F042D"/>
    <w:rsid w:val="008F170D"/>
    <w:rsid w:val="008F7BD0"/>
    <w:rsid w:val="00901683"/>
    <w:rsid w:val="00907F95"/>
    <w:rsid w:val="00914577"/>
    <w:rsid w:val="00915D22"/>
    <w:rsid w:val="00921551"/>
    <w:rsid w:val="00921BC9"/>
    <w:rsid w:val="00925D4A"/>
    <w:rsid w:val="00931A71"/>
    <w:rsid w:val="00937795"/>
    <w:rsid w:val="009379A6"/>
    <w:rsid w:val="009379EC"/>
    <w:rsid w:val="00940FA6"/>
    <w:rsid w:val="00941502"/>
    <w:rsid w:val="00942C9B"/>
    <w:rsid w:val="00945F6F"/>
    <w:rsid w:val="00946475"/>
    <w:rsid w:val="00946F84"/>
    <w:rsid w:val="00947C0D"/>
    <w:rsid w:val="00947C1D"/>
    <w:rsid w:val="00951995"/>
    <w:rsid w:val="00960B7D"/>
    <w:rsid w:val="00960E1A"/>
    <w:rsid w:val="009639C3"/>
    <w:rsid w:val="00965FB3"/>
    <w:rsid w:val="0096760B"/>
    <w:rsid w:val="0096782B"/>
    <w:rsid w:val="00967ED3"/>
    <w:rsid w:val="00972316"/>
    <w:rsid w:val="00974C00"/>
    <w:rsid w:val="009759D9"/>
    <w:rsid w:val="00983995"/>
    <w:rsid w:val="00986B18"/>
    <w:rsid w:val="00986E01"/>
    <w:rsid w:val="00986F49"/>
    <w:rsid w:val="00987953"/>
    <w:rsid w:val="00991E38"/>
    <w:rsid w:val="009944AA"/>
    <w:rsid w:val="00996E31"/>
    <w:rsid w:val="009B15DD"/>
    <w:rsid w:val="009B1C62"/>
    <w:rsid w:val="009B4592"/>
    <w:rsid w:val="009B51E0"/>
    <w:rsid w:val="009B56B5"/>
    <w:rsid w:val="009B728C"/>
    <w:rsid w:val="009C0921"/>
    <w:rsid w:val="009C3A69"/>
    <w:rsid w:val="009C7454"/>
    <w:rsid w:val="009D3943"/>
    <w:rsid w:val="009D62D0"/>
    <w:rsid w:val="009D6D2D"/>
    <w:rsid w:val="009D79F6"/>
    <w:rsid w:val="009D7D9A"/>
    <w:rsid w:val="009E13A8"/>
    <w:rsid w:val="009E18C0"/>
    <w:rsid w:val="009E3936"/>
    <w:rsid w:val="009E3EED"/>
    <w:rsid w:val="009E4CDD"/>
    <w:rsid w:val="009E6A3C"/>
    <w:rsid w:val="009E7798"/>
    <w:rsid w:val="009F05A2"/>
    <w:rsid w:val="009F1FBD"/>
    <w:rsid w:val="009F490D"/>
    <w:rsid w:val="009F4E2B"/>
    <w:rsid w:val="00A014D9"/>
    <w:rsid w:val="00A12559"/>
    <w:rsid w:val="00A13C7A"/>
    <w:rsid w:val="00A21AAE"/>
    <w:rsid w:val="00A2425F"/>
    <w:rsid w:val="00A3005B"/>
    <w:rsid w:val="00A3157C"/>
    <w:rsid w:val="00A36F57"/>
    <w:rsid w:val="00A40955"/>
    <w:rsid w:val="00A4172A"/>
    <w:rsid w:val="00A42871"/>
    <w:rsid w:val="00A46AA0"/>
    <w:rsid w:val="00A46D22"/>
    <w:rsid w:val="00A56EDE"/>
    <w:rsid w:val="00A678D0"/>
    <w:rsid w:val="00A6791E"/>
    <w:rsid w:val="00A67FEC"/>
    <w:rsid w:val="00A729B0"/>
    <w:rsid w:val="00A72B0F"/>
    <w:rsid w:val="00A765C1"/>
    <w:rsid w:val="00A83A63"/>
    <w:rsid w:val="00A85D61"/>
    <w:rsid w:val="00A8755B"/>
    <w:rsid w:val="00A87CDF"/>
    <w:rsid w:val="00A947D9"/>
    <w:rsid w:val="00A96479"/>
    <w:rsid w:val="00A97C42"/>
    <w:rsid w:val="00AA0EDC"/>
    <w:rsid w:val="00AA3C97"/>
    <w:rsid w:val="00AA5707"/>
    <w:rsid w:val="00AA6504"/>
    <w:rsid w:val="00AB4CFE"/>
    <w:rsid w:val="00AB7B77"/>
    <w:rsid w:val="00AC20BE"/>
    <w:rsid w:val="00AC47D5"/>
    <w:rsid w:val="00AD0D92"/>
    <w:rsid w:val="00AD3555"/>
    <w:rsid w:val="00AD485B"/>
    <w:rsid w:val="00AD515E"/>
    <w:rsid w:val="00AE3D12"/>
    <w:rsid w:val="00AE436E"/>
    <w:rsid w:val="00AF1969"/>
    <w:rsid w:val="00AF2010"/>
    <w:rsid w:val="00AF353B"/>
    <w:rsid w:val="00AF4C96"/>
    <w:rsid w:val="00AF6C76"/>
    <w:rsid w:val="00B007FA"/>
    <w:rsid w:val="00B01A38"/>
    <w:rsid w:val="00B01AD2"/>
    <w:rsid w:val="00B026B0"/>
    <w:rsid w:val="00B03E6B"/>
    <w:rsid w:val="00B05E3B"/>
    <w:rsid w:val="00B10660"/>
    <w:rsid w:val="00B12199"/>
    <w:rsid w:val="00B1226B"/>
    <w:rsid w:val="00B13395"/>
    <w:rsid w:val="00B13FD9"/>
    <w:rsid w:val="00B14AE6"/>
    <w:rsid w:val="00B15D58"/>
    <w:rsid w:val="00B17DB9"/>
    <w:rsid w:val="00B2511D"/>
    <w:rsid w:val="00B26702"/>
    <w:rsid w:val="00B35EEA"/>
    <w:rsid w:val="00B46029"/>
    <w:rsid w:val="00B46292"/>
    <w:rsid w:val="00B50D92"/>
    <w:rsid w:val="00B521E1"/>
    <w:rsid w:val="00B53595"/>
    <w:rsid w:val="00B546E5"/>
    <w:rsid w:val="00B5653C"/>
    <w:rsid w:val="00B60B8F"/>
    <w:rsid w:val="00B6545B"/>
    <w:rsid w:val="00B65922"/>
    <w:rsid w:val="00B66666"/>
    <w:rsid w:val="00B6692E"/>
    <w:rsid w:val="00B6725D"/>
    <w:rsid w:val="00B67FB4"/>
    <w:rsid w:val="00B72848"/>
    <w:rsid w:val="00B72A62"/>
    <w:rsid w:val="00B74C43"/>
    <w:rsid w:val="00B80172"/>
    <w:rsid w:val="00B8279C"/>
    <w:rsid w:val="00B82BB5"/>
    <w:rsid w:val="00B87318"/>
    <w:rsid w:val="00B91469"/>
    <w:rsid w:val="00B91BD8"/>
    <w:rsid w:val="00B92F23"/>
    <w:rsid w:val="00B93771"/>
    <w:rsid w:val="00B950E0"/>
    <w:rsid w:val="00B956CE"/>
    <w:rsid w:val="00B95944"/>
    <w:rsid w:val="00B9693B"/>
    <w:rsid w:val="00BA5733"/>
    <w:rsid w:val="00BA7056"/>
    <w:rsid w:val="00BB01A8"/>
    <w:rsid w:val="00BB0A4A"/>
    <w:rsid w:val="00BB1280"/>
    <w:rsid w:val="00BB2178"/>
    <w:rsid w:val="00BB2BF0"/>
    <w:rsid w:val="00BC0261"/>
    <w:rsid w:val="00BC1432"/>
    <w:rsid w:val="00BC6372"/>
    <w:rsid w:val="00BC72CF"/>
    <w:rsid w:val="00BD0390"/>
    <w:rsid w:val="00BD15F2"/>
    <w:rsid w:val="00BD1EEB"/>
    <w:rsid w:val="00BD3984"/>
    <w:rsid w:val="00BE1DE2"/>
    <w:rsid w:val="00BF031B"/>
    <w:rsid w:val="00BF1775"/>
    <w:rsid w:val="00BF5E16"/>
    <w:rsid w:val="00BF67D7"/>
    <w:rsid w:val="00C07E95"/>
    <w:rsid w:val="00C1180B"/>
    <w:rsid w:val="00C12895"/>
    <w:rsid w:val="00C148AE"/>
    <w:rsid w:val="00C23AB7"/>
    <w:rsid w:val="00C24494"/>
    <w:rsid w:val="00C300F0"/>
    <w:rsid w:val="00C3124B"/>
    <w:rsid w:val="00C317E5"/>
    <w:rsid w:val="00C34D6A"/>
    <w:rsid w:val="00C36C84"/>
    <w:rsid w:val="00C41EFB"/>
    <w:rsid w:val="00C42FE7"/>
    <w:rsid w:val="00C45AAB"/>
    <w:rsid w:val="00C47F05"/>
    <w:rsid w:val="00C5156D"/>
    <w:rsid w:val="00C5209A"/>
    <w:rsid w:val="00C53490"/>
    <w:rsid w:val="00C56A65"/>
    <w:rsid w:val="00C574FC"/>
    <w:rsid w:val="00C60090"/>
    <w:rsid w:val="00C66E15"/>
    <w:rsid w:val="00C67D36"/>
    <w:rsid w:val="00C721A2"/>
    <w:rsid w:val="00C77641"/>
    <w:rsid w:val="00C82903"/>
    <w:rsid w:val="00C84049"/>
    <w:rsid w:val="00C86391"/>
    <w:rsid w:val="00C87FD5"/>
    <w:rsid w:val="00C9274B"/>
    <w:rsid w:val="00C93110"/>
    <w:rsid w:val="00C943FA"/>
    <w:rsid w:val="00C9464C"/>
    <w:rsid w:val="00CA155C"/>
    <w:rsid w:val="00CA3F01"/>
    <w:rsid w:val="00CA4050"/>
    <w:rsid w:val="00CA60CA"/>
    <w:rsid w:val="00CB3C80"/>
    <w:rsid w:val="00CB5FB1"/>
    <w:rsid w:val="00CB603D"/>
    <w:rsid w:val="00CC0434"/>
    <w:rsid w:val="00CC40D2"/>
    <w:rsid w:val="00CC40E2"/>
    <w:rsid w:val="00CC4D99"/>
    <w:rsid w:val="00CC61AA"/>
    <w:rsid w:val="00CC6973"/>
    <w:rsid w:val="00CD05AB"/>
    <w:rsid w:val="00CD4D20"/>
    <w:rsid w:val="00CD5CB5"/>
    <w:rsid w:val="00CE0771"/>
    <w:rsid w:val="00CE09D4"/>
    <w:rsid w:val="00CE318C"/>
    <w:rsid w:val="00CE55AF"/>
    <w:rsid w:val="00CE5B1C"/>
    <w:rsid w:val="00CE75FB"/>
    <w:rsid w:val="00CF58EC"/>
    <w:rsid w:val="00CF68CA"/>
    <w:rsid w:val="00CF7E52"/>
    <w:rsid w:val="00D032E1"/>
    <w:rsid w:val="00D04832"/>
    <w:rsid w:val="00D055DD"/>
    <w:rsid w:val="00D15702"/>
    <w:rsid w:val="00D205BE"/>
    <w:rsid w:val="00D27568"/>
    <w:rsid w:val="00D37EDE"/>
    <w:rsid w:val="00D42E86"/>
    <w:rsid w:val="00D443C9"/>
    <w:rsid w:val="00D47E9C"/>
    <w:rsid w:val="00D52346"/>
    <w:rsid w:val="00D5523A"/>
    <w:rsid w:val="00D55AAD"/>
    <w:rsid w:val="00D5666B"/>
    <w:rsid w:val="00D57C84"/>
    <w:rsid w:val="00D62090"/>
    <w:rsid w:val="00D62755"/>
    <w:rsid w:val="00D62807"/>
    <w:rsid w:val="00D6330E"/>
    <w:rsid w:val="00D762C6"/>
    <w:rsid w:val="00D80E86"/>
    <w:rsid w:val="00D83216"/>
    <w:rsid w:val="00D840B7"/>
    <w:rsid w:val="00D8487A"/>
    <w:rsid w:val="00D86BA5"/>
    <w:rsid w:val="00D86E07"/>
    <w:rsid w:val="00D9022E"/>
    <w:rsid w:val="00D94523"/>
    <w:rsid w:val="00D94EB1"/>
    <w:rsid w:val="00D96CE9"/>
    <w:rsid w:val="00DA15E9"/>
    <w:rsid w:val="00DA17E9"/>
    <w:rsid w:val="00DA236E"/>
    <w:rsid w:val="00DA31BA"/>
    <w:rsid w:val="00DA579C"/>
    <w:rsid w:val="00DA62DA"/>
    <w:rsid w:val="00DB4733"/>
    <w:rsid w:val="00DB4E20"/>
    <w:rsid w:val="00DB5834"/>
    <w:rsid w:val="00DC00B8"/>
    <w:rsid w:val="00DC0248"/>
    <w:rsid w:val="00DC30CD"/>
    <w:rsid w:val="00DC5B59"/>
    <w:rsid w:val="00DC663D"/>
    <w:rsid w:val="00DD037E"/>
    <w:rsid w:val="00DD2634"/>
    <w:rsid w:val="00DD30A6"/>
    <w:rsid w:val="00DD7243"/>
    <w:rsid w:val="00DE062C"/>
    <w:rsid w:val="00DE3351"/>
    <w:rsid w:val="00DE470C"/>
    <w:rsid w:val="00DE6F3F"/>
    <w:rsid w:val="00DF201E"/>
    <w:rsid w:val="00DF28F8"/>
    <w:rsid w:val="00DF2D01"/>
    <w:rsid w:val="00DF533C"/>
    <w:rsid w:val="00E0435A"/>
    <w:rsid w:val="00E047A4"/>
    <w:rsid w:val="00E113F0"/>
    <w:rsid w:val="00E114C5"/>
    <w:rsid w:val="00E12BC0"/>
    <w:rsid w:val="00E13B36"/>
    <w:rsid w:val="00E23025"/>
    <w:rsid w:val="00E25A5C"/>
    <w:rsid w:val="00E25EDF"/>
    <w:rsid w:val="00E25F61"/>
    <w:rsid w:val="00E26CF9"/>
    <w:rsid w:val="00E32ABF"/>
    <w:rsid w:val="00E40CA2"/>
    <w:rsid w:val="00E44926"/>
    <w:rsid w:val="00E477D5"/>
    <w:rsid w:val="00E501C0"/>
    <w:rsid w:val="00E50887"/>
    <w:rsid w:val="00E510FD"/>
    <w:rsid w:val="00E52474"/>
    <w:rsid w:val="00E52FEA"/>
    <w:rsid w:val="00E53BFB"/>
    <w:rsid w:val="00E551EE"/>
    <w:rsid w:val="00E55ADD"/>
    <w:rsid w:val="00E56136"/>
    <w:rsid w:val="00E561C8"/>
    <w:rsid w:val="00E61B44"/>
    <w:rsid w:val="00E62761"/>
    <w:rsid w:val="00E64B6D"/>
    <w:rsid w:val="00E66CC4"/>
    <w:rsid w:val="00E67CEF"/>
    <w:rsid w:val="00E73AF6"/>
    <w:rsid w:val="00E80335"/>
    <w:rsid w:val="00E80B8B"/>
    <w:rsid w:val="00E917D4"/>
    <w:rsid w:val="00E93D1D"/>
    <w:rsid w:val="00EA1B36"/>
    <w:rsid w:val="00EA7473"/>
    <w:rsid w:val="00EB1463"/>
    <w:rsid w:val="00EB2D3A"/>
    <w:rsid w:val="00EB41A4"/>
    <w:rsid w:val="00EB5973"/>
    <w:rsid w:val="00EB6693"/>
    <w:rsid w:val="00EC1872"/>
    <w:rsid w:val="00EC203F"/>
    <w:rsid w:val="00EC21E8"/>
    <w:rsid w:val="00EC3A99"/>
    <w:rsid w:val="00EC7AAF"/>
    <w:rsid w:val="00ED065E"/>
    <w:rsid w:val="00ED0EB5"/>
    <w:rsid w:val="00ED4B64"/>
    <w:rsid w:val="00ED5E47"/>
    <w:rsid w:val="00ED7C1A"/>
    <w:rsid w:val="00EE0903"/>
    <w:rsid w:val="00EE16C3"/>
    <w:rsid w:val="00EE39B9"/>
    <w:rsid w:val="00EE4FB1"/>
    <w:rsid w:val="00EE5D6A"/>
    <w:rsid w:val="00EF0FA4"/>
    <w:rsid w:val="00EF2F44"/>
    <w:rsid w:val="00EF62DD"/>
    <w:rsid w:val="00EF7A98"/>
    <w:rsid w:val="00F03473"/>
    <w:rsid w:val="00F04303"/>
    <w:rsid w:val="00F13DED"/>
    <w:rsid w:val="00F14E7A"/>
    <w:rsid w:val="00F157FC"/>
    <w:rsid w:val="00F220CD"/>
    <w:rsid w:val="00F2231C"/>
    <w:rsid w:val="00F24183"/>
    <w:rsid w:val="00F24BD9"/>
    <w:rsid w:val="00F26311"/>
    <w:rsid w:val="00F26F78"/>
    <w:rsid w:val="00F37AB6"/>
    <w:rsid w:val="00F47ADE"/>
    <w:rsid w:val="00F5105C"/>
    <w:rsid w:val="00F51090"/>
    <w:rsid w:val="00F527AE"/>
    <w:rsid w:val="00F601C2"/>
    <w:rsid w:val="00F60C8D"/>
    <w:rsid w:val="00F70CC4"/>
    <w:rsid w:val="00F730B7"/>
    <w:rsid w:val="00F733FE"/>
    <w:rsid w:val="00F771D4"/>
    <w:rsid w:val="00F80116"/>
    <w:rsid w:val="00F8158A"/>
    <w:rsid w:val="00F833F8"/>
    <w:rsid w:val="00F84AFB"/>
    <w:rsid w:val="00F8579E"/>
    <w:rsid w:val="00F875EB"/>
    <w:rsid w:val="00F90951"/>
    <w:rsid w:val="00F93B4C"/>
    <w:rsid w:val="00F9508D"/>
    <w:rsid w:val="00F96AC3"/>
    <w:rsid w:val="00FA0949"/>
    <w:rsid w:val="00FA2CFC"/>
    <w:rsid w:val="00FA2D46"/>
    <w:rsid w:val="00FA317D"/>
    <w:rsid w:val="00FA6180"/>
    <w:rsid w:val="00FA64C2"/>
    <w:rsid w:val="00FA70D4"/>
    <w:rsid w:val="00FA7E5F"/>
    <w:rsid w:val="00FB1D82"/>
    <w:rsid w:val="00FC1E3E"/>
    <w:rsid w:val="00FD08F1"/>
    <w:rsid w:val="00FD2E1D"/>
    <w:rsid w:val="00FD3B0A"/>
    <w:rsid w:val="00FD4A5B"/>
    <w:rsid w:val="00FD53BB"/>
    <w:rsid w:val="00FD542A"/>
    <w:rsid w:val="00FE0519"/>
    <w:rsid w:val="00FE1B60"/>
    <w:rsid w:val="00FE5A2C"/>
    <w:rsid w:val="00FE6207"/>
    <w:rsid w:val="00FF2827"/>
    <w:rsid w:val="00FF3581"/>
    <w:rsid w:val="00FF475A"/>
    <w:rsid w:val="00FF4981"/>
    <w:rsid w:val="00FF4F5C"/>
    <w:rsid w:val="00FF6882"/>
    <w:rsid w:val="00FF6D25"/>
    <w:rsid w:val="00FF7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5A128"/>
  <w15:docId w15:val="{8727A159-07B0-4BA9-80DC-1BBC1C99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13A"/>
  </w:style>
  <w:style w:type="paragraph" w:styleId="Heading1">
    <w:name w:val="heading 1"/>
    <w:basedOn w:val="Normal"/>
    <w:next w:val="Normal"/>
    <w:link w:val="Heading1Char"/>
    <w:uiPriority w:val="9"/>
    <w:qFormat/>
    <w:rsid w:val="007A613A"/>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A613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7A613A"/>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7A613A"/>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7A613A"/>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7A613A"/>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7A613A"/>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7A613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A613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13A"/>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7A613A"/>
    <w:rPr>
      <w:caps/>
      <w:spacing w:val="15"/>
      <w:shd w:val="clear" w:color="auto" w:fill="D9E2F3" w:themeFill="accent1" w:themeFillTint="33"/>
    </w:rPr>
  </w:style>
  <w:style w:type="character" w:customStyle="1" w:styleId="Heading3Char">
    <w:name w:val="Heading 3 Char"/>
    <w:basedOn w:val="DefaultParagraphFont"/>
    <w:link w:val="Heading3"/>
    <w:uiPriority w:val="9"/>
    <w:rsid w:val="007A613A"/>
    <w:rPr>
      <w:caps/>
      <w:color w:val="1F3763" w:themeColor="accent1" w:themeShade="7F"/>
      <w:spacing w:val="15"/>
    </w:rPr>
  </w:style>
  <w:style w:type="character" w:customStyle="1" w:styleId="Heading4Char">
    <w:name w:val="Heading 4 Char"/>
    <w:basedOn w:val="DefaultParagraphFont"/>
    <w:link w:val="Heading4"/>
    <w:uiPriority w:val="9"/>
    <w:semiHidden/>
    <w:rsid w:val="007A613A"/>
    <w:rPr>
      <w:caps/>
      <w:color w:val="2F5496" w:themeColor="accent1" w:themeShade="BF"/>
      <w:spacing w:val="10"/>
    </w:rPr>
  </w:style>
  <w:style w:type="character" w:customStyle="1" w:styleId="Heading5Char">
    <w:name w:val="Heading 5 Char"/>
    <w:basedOn w:val="DefaultParagraphFont"/>
    <w:link w:val="Heading5"/>
    <w:uiPriority w:val="9"/>
    <w:semiHidden/>
    <w:rsid w:val="007A613A"/>
    <w:rPr>
      <w:caps/>
      <w:color w:val="2F5496" w:themeColor="accent1" w:themeShade="BF"/>
      <w:spacing w:val="10"/>
    </w:rPr>
  </w:style>
  <w:style w:type="character" w:customStyle="1" w:styleId="Heading6Char">
    <w:name w:val="Heading 6 Char"/>
    <w:basedOn w:val="DefaultParagraphFont"/>
    <w:link w:val="Heading6"/>
    <w:uiPriority w:val="9"/>
    <w:semiHidden/>
    <w:rsid w:val="007A613A"/>
    <w:rPr>
      <w:caps/>
      <w:color w:val="2F5496" w:themeColor="accent1" w:themeShade="BF"/>
      <w:spacing w:val="10"/>
    </w:rPr>
  </w:style>
  <w:style w:type="character" w:customStyle="1" w:styleId="Heading7Char">
    <w:name w:val="Heading 7 Char"/>
    <w:basedOn w:val="DefaultParagraphFont"/>
    <w:link w:val="Heading7"/>
    <w:uiPriority w:val="9"/>
    <w:semiHidden/>
    <w:rsid w:val="007A613A"/>
    <w:rPr>
      <w:caps/>
      <w:color w:val="2F5496" w:themeColor="accent1" w:themeShade="BF"/>
      <w:spacing w:val="10"/>
    </w:rPr>
  </w:style>
  <w:style w:type="character" w:customStyle="1" w:styleId="Heading8Char">
    <w:name w:val="Heading 8 Char"/>
    <w:basedOn w:val="DefaultParagraphFont"/>
    <w:link w:val="Heading8"/>
    <w:uiPriority w:val="9"/>
    <w:semiHidden/>
    <w:rsid w:val="007A613A"/>
    <w:rPr>
      <w:caps/>
      <w:spacing w:val="10"/>
      <w:sz w:val="18"/>
      <w:szCs w:val="18"/>
    </w:rPr>
  </w:style>
  <w:style w:type="character" w:customStyle="1" w:styleId="Heading9Char">
    <w:name w:val="Heading 9 Char"/>
    <w:basedOn w:val="DefaultParagraphFont"/>
    <w:link w:val="Heading9"/>
    <w:uiPriority w:val="9"/>
    <w:semiHidden/>
    <w:rsid w:val="007A613A"/>
    <w:rPr>
      <w:i/>
      <w:iCs/>
      <w:caps/>
      <w:spacing w:val="10"/>
      <w:sz w:val="18"/>
      <w:szCs w:val="18"/>
    </w:rPr>
  </w:style>
  <w:style w:type="paragraph" w:styleId="Caption">
    <w:name w:val="caption"/>
    <w:basedOn w:val="Normal"/>
    <w:next w:val="Normal"/>
    <w:uiPriority w:val="35"/>
    <w:unhideWhenUsed/>
    <w:qFormat/>
    <w:rsid w:val="007A613A"/>
    <w:rPr>
      <w:b/>
      <w:bCs/>
      <w:color w:val="2F5496" w:themeColor="accent1" w:themeShade="BF"/>
      <w:sz w:val="16"/>
      <w:szCs w:val="16"/>
    </w:rPr>
  </w:style>
  <w:style w:type="paragraph" w:styleId="Title">
    <w:name w:val="Title"/>
    <w:basedOn w:val="Normal"/>
    <w:next w:val="Normal"/>
    <w:link w:val="TitleChar"/>
    <w:uiPriority w:val="10"/>
    <w:qFormat/>
    <w:rsid w:val="007A613A"/>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7A613A"/>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7A613A"/>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A613A"/>
    <w:rPr>
      <w:caps/>
      <w:color w:val="595959" w:themeColor="text1" w:themeTint="A6"/>
      <w:spacing w:val="10"/>
      <w:sz w:val="21"/>
      <w:szCs w:val="21"/>
    </w:rPr>
  </w:style>
  <w:style w:type="character" w:styleId="Strong">
    <w:name w:val="Strong"/>
    <w:uiPriority w:val="22"/>
    <w:qFormat/>
    <w:rsid w:val="007A613A"/>
    <w:rPr>
      <w:b/>
      <w:bCs/>
    </w:rPr>
  </w:style>
  <w:style w:type="character" w:styleId="Emphasis">
    <w:name w:val="Emphasis"/>
    <w:uiPriority w:val="20"/>
    <w:qFormat/>
    <w:rsid w:val="007A613A"/>
    <w:rPr>
      <w:caps/>
      <w:color w:val="1F3763" w:themeColor="accent1" w:themeShade="7F"/>
      <w:spacing w:val="5"/>
    </w:rPr>
  </w:style>
  <w:style w:type="paragraph" w:styleId="NoSpacing">
    <w:name w:val="No Spacing"/>
    <w:uiPriority w:val="1"/>
    <w:qFormat/>
    <w:rsid w:val="007A613A"/>
    <w:pPr>
      <w:spacing w:after="0" w:line="240" w:lineRule="auto"/>
    </w:pPr>
  </w:style>
  <w:style w:type="paragraph" w:styleId="Quote">
    <w:name w:val="Quote"/>
    <w:basedOn w:val="Normal"/>
    <w:next w:val="Normal"/>
    <w:link w:val="QuoteChar"/>
    <w:uiPriority w:val="29"/>
    <w:qFormat/>
    <w:rsid w:val="007A613A"/>
    <w:rPr>
      <w:i/>
      <w:iCs/>
      <w:sz w:val="24"/>
      <w:szCs w:val="24"/>
    </w:rPr>
  </w:style>
  <w:style w:type="character" w:customStyle="1" w:styleId="QuoteChar">
    <w:name w:val="Quote Char"/>
    <w:basedOn w:val="DefaultParagraphFont"/>
    <w:link w:val="Quote"/>
    <w:uiPriority w:val="29"/>
    <w:rsid w:val="007A613A"/>
    <w:rPr>
      <w:i/>
      <w:iCs/>
      <w:sz w:val="24"/>
      <w:szCs w:val="24"/>
    </w:rPr>
  </w:style>
  <w:style w:type="paragraph" w:styleId="IntenseQuote">
    <w:name w:val="Intense Quote"/>
    <w:basedOn w:val="Normal"/>
    <w:next w:val="Normal"/>
    <w:link w:val="IntenseQuoteChar"/>
    <w:uiPriority w:val="30"/>
    <w:qFormat/>
    <w:rsid w:val="007A613A"/>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7A613A"/>
    <w:rPr>
      <w:color w:val="4472C4" w:themeColor="accent1"/>
      <w:sz w:val="24"/>
      <w:szCs w:val="24"/>
    </w:rPr>
  </w:style>
  <w:style w:type="character" w:styleId="SubtleEmphasis">
    <w:name w:val="Subtle Emphasis"/>
    <w:uiPriority w:val="19"/>
    <w:qFormat/>
    <w:rsid w:val="007A613A"/>
    <w:rPr>
      <w:i/>
      <w:iCs/>
      <w:color w:val="1F3763" w:themeColor="accent1" w:themeShade="7F"/>
    </w:rPr>
  </w:style>
  <w:style w:type="character" w:styleId="IntenseEmphasis">
    <w:name w:val="Intense Emphasis"/>
    <w:uiPriority w:val="21"/>
    <w:qFormat/>
    <w:rsid w:val="007A613A"/>
    <w:rPr>
      <w:b/>
      <w:bCs/>
      <w:caps/>
      <w:color w:val="1F3763" w:themeColor="accent1" w:themeShade="7F"/>
      <w:spacing w:val="10"/>
    </w:rPr>
  </w:style>
  <w:style w:type="character" w:styleId="SubtleReference">
    <w:name w:val="Subtle Reference"/>
    <w:uiPriority w:val="31"/>
    <w:qFormat/>
    <w:rsid w:val="007A613A"/>
    <w:rPr>
      <w:b/>
      <w:bCs/>
      <w:color w:val="4472C4" w:themeColor="accent1"/>
    </w:rPr>
  </w:style>
  <w:style w:type="character" w:styleId="IntenseReference">
    <w:name w:val="Intense Reference"/>
    <w:uiPriority w:val="32"/>
    <w:qFormat/>
    <w:rsid w:val="007A613A"/>
    <w:rPr>
      <w:b/>
      <w:bCs/>
      <w:i/>
      <w:iCs/>
      <w:caps/>
      <w:color w:val="4472C4" w:themeColor="accent1"/>
    </w:rPr>
  </w:style>
  <w:style w:type="character" w:styleId="BookTitle">
    <w:name w:val="Book Title"/>
    <w:uiPriority w:val="33"/>
    <w:qFormat/>
    <w:rsid w:val="007A613A"/>
    <w:rPr>
      <w:b/>
      <w:bCs/>
      <w:i/>
      <w:iCs/>
      <w:spacing w:val="0"/>
    </w:rPr>
  </w:style>
  <w:style w:type="paragraph" w:styleId="TOCHeading">
    <w:name w:val="TOC Heading"/>
    <w:basedOn w:val="Heading1"/>
    <w:next w:val="Normal"/>
    <w:uiPriority w:val="39"/>
    <w:semiHidden/>
    <w:unhideWhenUsed/>
    <w:qFormat/>
    <w:rsid w:val="007A613A"/>
    <w:pPr>
      <w:outlineLvl w:val="9"/>
    </w:pPr>
  </w:style>
  <w:style w:type="paragraph" w:styleId="ListParagraph">
    <w:name w:val="List Paragraph"/>
    <w:basedOn w:val="Normal"/>
    <w:uiPriority w:val="34"/>
    <w:qFormat/>
    <w:rsid w:val="002A5F5B"/>
    <w:pPr>
      <w:ind w:left="720"/>
      <w:contextualSpacing/>
    </w:pPr>
  </w:style>
  <w:style w:type="paragraph" w:styleId="FootnoteText">
    <w:name w:val="footnote text"/>
    <w:basedOn w:val="Normal"/>
    <w:link w:val="FootnoteTextChar"/>
    <w:uiPriority w:val="99"/>
    <w:semiHidden/>
    <w:unhideWhenUsed/>
    <w:rsid w:val="00FF6D25"/>
    <w:pPr>
      <w:spacing w:before="0" w:after="0" w:line="240" w:lineRule="auto"/>
    </w:pPr>
  </w:style>
  <w:style w:type="character" w:customStyle="1" w:styleId="FootnoteTextChar">
    <w:name w:val="Footnote Text Char"/>
    <w:basedOn w:val="DefaultParagraphFont"/>
    <w:link w:val="FootnoteText"/>
    <w:uiPriority w:val="99"/>
    <w:semiHidden/>
    <w:rsid w:val="00FF6D25"/>
  </w:style>
  <w:style w:type="character" w:styleId="FootnoteReference">
    <w:name w:val="footnote reference"/>
    <w:basedOn w:val="DefaultParagraphFont"/>
    <w:uiPriority w:val="99"/>
    <w:semiHidden/>
    <w:unhideWhenUsed/>
    <w:rsid w:val="00FF6D25"/>
    <w:rPr>
      <w:vertAlign w:val="superscript"/>
    </w:rPr>
  </w:style>
  <w:style w:type="paragraph" w:styleId="Revision">
    <w:name w:val="Revision"/>
    <w:hidden/>
    <w:uiPriority w:val="99"/>
    <w:semiHidden/>
    <w:rsid w:val="004C745C"/>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20399">
      <w:bodyDiv w:val="1"/>
      <w:marLeft w:val="0"/>
      <w:marRight w:val="0"/>
      <w:marTop w:val="0"/>
      <w:marBottom w:val="0"/>
      <w:divBdr>
        <w:top w:val="none" w:sz="0" w:space="0" w:color="auto"/>
        <w:left w:val="none" w:sz="0" w:space="0" w:color="auto"/>
        <w:bottom w:val="none" w:sz="0" w:space="0" w:color="auto"/>
        <w:right w:val="none" w:sz="0" w:space="0" w:color="auto"/>
      </w:divBdr>
    </w:div>
    <w:div w:id="164979865">
      <w:bodyDiv w:val="1"/>
      <w:marLeft w:val="0"/>
      <w:marRight w:val="0"/>
      <w:marTop w:val="0"/>
      <w:marBottom w:val="0"/>
      <w:divBdr>
        <w:top w:val="none" w:sz="0" w:space="0" w:color="auto"/>
        <w:left w:val="none" w:sz="0" w:space="0" w:color="auto"/>
        <w:bottom w:val="none" w:sz="0" w:space="0" w:color="auto"/>
        <w:right w:val="none" w:sz="0" w:space="0" w:color="auto"/>
      </w:divBdr>
    </w:div>
    <w:div w:id="205798818">
      <w:bodyDiv w:val="1"/>
      <w:marLeft w:val="0"/>
      <w:marRight w:val="0"/>
      <w:marTop w:val="0"/>
      <w:marBottom w:val="0"/>
      <w:divBdr>
        <w:top w:val="none" w:sz="0" w:space="0" w:color="auto"/>
        <w:left w:val="none" w:sz="0" w:space="0" w:color="auto"/>
        <w:bottom w:val="none" w:sz="0" w:space="0" w:color="auto"/>
        <w:right w:val="none" w:sz="0" w:space="0" w:color="auto"/>
      </w:divBdr>
    </w:div>
    <w:div w:id="218563026">
      <w:bodyDiv w:val="1"/>
      <w:marLeft w:val="0"/>
      <w:marRight w:val="0"/>
      <w:marTop w:val="0"/>
      <w:marBottom w:val="0"/>
      <w:divBdr>
        <w:top w:val="none" w:sz="0" w:space="0" w:color="auto"/>
        <w:left w:val="none" w:sz="0" w:space="0" w:color="auto"/>
        <w:bottom w:val="none" w:sz="0" w:space="0" w:color="auto"/>
        <w:right w:val="none" w:sz="0" w:space="0" w:color="auto"/>
      </w:divBdr>
    </w:div>
    <w:div w:id="263223291">
      <w:bodyDiv w:val="1"/>
      <w:marLeft w:val="0"/>
      <w:marRight w:val="0"/>
      <w:marTop w:val="0"/>
      <w:marBottom w:val="0"/>
      <w:divBdr>
        <w:top w:val="none" w:sz="0" w:space="0" w:color="auto"/>
        <w:left w:val="none" w:sz="0" w:space="0" w:color="auto"/>
        <w:bottom w:val="none" w:sz="0" w:space="0" w:color="auto"/>
        <w:right w:val="none" w:sz="0" w:space="0" w:color="auto"/>
      </w:divBdr>
    </w:div>
    <w:div w:id="303197727">
      <w:bodyDiv w:val="1"/>
      <w:marLeft w:val="0"/>
      <w:marRight w:val="0"/>
      <w:marTop w:val="0"/>
      <w:marBottom w:val="0"/>
      <w:divBdr>
        <w:top w:val="none" w:sz="0" w:space="0" w:color="auto"/>
        <w:left w:val="none" w:sz="0" w:space="0" w:color="auto"/>
        <w:bottom w:val="none" w:sz="0" w:space="0" w:color="auto"/>
        <w:right w:val="none" w:sz="0" w:space="0" w:color="auto"/>
      </w:divBdr>
    </w:div>
    <w:div w:id="500900877">
      <w:bodyDiv w:val="1"/>
      <w:marLeft w:val="0"/>
      <w:marRight w:val="0"/>
      <w:marTop w:val="0"/>
      <w:marBottom w:val="0"/>
      <w:divBdr>
        <w:top w:val="none" w:sz="0" w:space="0" w:color="auto"/>
        <w:left w:val="none" w:sz="0" w:space="0" w:color="auto"/>
        <w:bottom w:val="none" w:sz="0" w:space="0" w:color="auto"/>
        <w:right w:val="none" w:sz="0" w:space="0" w:color="auto"/>
      </w:divBdr>
    </w:div>
    <w:div w:id="520046572">
      <w:bodyDiv w:val="1"/>
      <w:marLeft w:val="0"/>
      <w:marRight w:val="0"/>
      <w:marTop w:val="0"/>
      <w:marBottom w:val="0"/>
      <w:divBdr>
        <w:top w:val="none" w:sz="0" w:space="0" w:color="auto"/>
        <w:left w:val="none" w:sz="0" w:space="0" w:color="auto"/>
        <w:bottom w:val="none" w:sz="0" w:space="0" w:color="auto"/>
        <w:right w:val="none" w:sz="0" w:space="0" w:color="auto"/>
      </w:divBdr>
    </w:div>
    <w:div w:id="653609907">
      <w:bodyDiv w:val="1"/>
      <w:marLeft w:val="0"/>
      <w:marRight w:val="0"/>
      <w:marTop w:val="0"/>
      <w:marBottom w:val="0"/>
      <w:divBdr>
        <w:top w:val="none" w:sz="0" w:space="0" w:color="auto"/>
        <w:left w:val="none" w:sz="0" w:space="0" w:color="auto"/>
        <w:bottom w:val="none" w:sz="0" w:space="0" w:color="auto"/>
        <w:right w:val="none" w:sz="0" w:space="0" w:color="auto"/>
      </w:divBdr>
    </w:div>
    <w:div w:id="672143009">
      <w:bodyDiv w:val="1"/>
      <w:marLeft w:val="0"/>
      <w:marRight w:val="0"/>
      <w:marTop w:val="0"/>
      <w:marBottom w:val="0"/>
      <w:divBdr>
        <w:top w:val="none" w:sz="0" w:space="0" w:color="auto"/>
        <w:left w:val="none" w:sz="0" w:space="0" w:color="auto"/>
        <w:bottom w:val="none" w:sz="0" w:space="0" w:color="auto"/>
        <w:right w:val="none" w:sz="0" w:space="0" w:color="auto"/>
      </w:divBdr>
    </w:div>
    <w:div w:id="881359971">
      <w:bodyDiv w:val="1"/>
      <w:marLeft w:val="0"/>
      <w:marRight w:val="0"/>
      <w:marTop w:val="0"/>
      <w:marBottom w:val="0"/>
      <w:divBdr>
        <w:top w:val="none" w:sz="0" w:space="0" w:color="auto"/>
        <w:left w:val="none" w:sz="0" w:space="0" w:color="auto"/>
        <w:bottom w:val="none" w:sz="0" w:space="0" w:color="auto"/>
        <w:right w:val="none" w:sz="0" w:space="0" w:color="auto"/>
      </w:divBdr>
    </w:div>
    <w:div w:id="1025866630">
      <w:bodyDiv w:val="1"/>
      <w:marLeft w:val="0"/>
      <w:marRight w:val="0"/>
      <w:marTop w:val="0"/>
      <w:marBottom w:val="0"/>
      <w:divBdr>
        <w:top w:val="none" w:sz="0" w:space="0" w:color="auto"/>
        <w:left w:val="none" w:sz="0" w:space="0" w:color="auto"/>
        <w:bottom w:val="none" w:sz="0" w:space="0" w:color="auto"/>
        <w:right w:val="none" w:sz="0" w:space="0" w:color="auto"/>
      </w:divBdr>
    </w:div>
    <w:div w:id="1046492975">
      <w:bodyDiv w:val="1"/>
      <w:marLeft w:val="0"/>
      <w:marRight w:val="0"/>
      <w:marTop w:val="0"/>
      <w:marBottom w:val="0"/>
      <w:divBdr>
        <w:top w:val="none" w:sz="0" w:space="0" w:color="auto"/>
        <w:left w:val="none" w:sz="0" w:space="0" w:color="auto"/>
        <w:bottom w:val="none" w:sz="0" w:space="0" w:color="auto"/>
        <w:right w:val="none" w:sz="0" w:space="0" w:color="auto"/>
      </w:divBdr>
    </w:div>
    <w:div w:id="1072853707">
      <w:bodyDiv w:val="1"/>
      <w:marLeft w:val="0"/>
      <w:marRight w:val="0"/>
      <w:marTop w:val="0"/>
      <w:marBottom w:val="0"/>
      <w:divBdr>
        <w:top w:val="none" w:sz="0" w:space="0" w:color="auto"/>
        <w:left w:val="none" w:sz="0" w:space="0" w:color="auto"/>
        <w:bottom w:val="none" w:sz="0" w:space="0" w:color="auto"/>
        <w:right w:val="none" w:sz="0" w:space="0" w:color="auto"/>
      </w:divBdr>
    </w:div>
    <w:div w:id="1202745108">
      <w:bodyDiv w:val="1"/>
      <w:marLeft w:val="0"/>
      <w:marRight w:val="0"/>
      <w:marTop w:val="0"/>
      <w:marBottom w:val="0"/>
      <w:divBdr>
        <w:top w:val="none" w:sz="0" w:space="0" w:color="auto"/>
        <w:left w:val="none" w:sz="0" w:space="0" w:color="auto"/>
        <w:bottom w:val="none" w:sz="0" w:space="0" w:color="auto"/>
        <w:right w:val="none" w:sz="0" w:space="0" w:color="auto"/>
      </w:divBdr>
    </w:div>
    <w:div w:id="1282497748">
      <w:bodyDiv w:val="1"/>
      <w:marLeft w:val="0"/>
      <w:marRight w:val="0"/>
      <w:marTop w:val="0"/>
      <w:marBottom w:val="0"/>
      <w:divBdr>
        <w:top w:val="none" w:sz="0" w:space="0" w:color="auto"/>
        <w:left w:val="none" w:sz="0" w:space="0" w:color="auto"/>
        <w:bottom w:val="none" w:sz="0" w:space="0" w:color="auto"/>
        <w:right w:val="none" w:sz="0" w:space="0" w:color="auto"/>
      </w:divBdr>
    </w:div>
    <w:div w:id="1307053265">
      <w:bodyDiv w:val="1"/>
      <w:marLeft w:val="0"/>
      <w:marRight w:val="0"/>
      <w:marTop w:val="0"/>
      <w:marBottom w:val="0"/>
      <w:divBdr>
        <w:top w:val="none" w:sz="0" w:space="0" w:color="auto"/>
        <w:left w:val="none" w:sz="0" w:space="0" w:color="auto"/>
        <w:bottom w:val="none" w:sz="0" w:space="0" w:color="auto"/>
        <w:right w:val="none" w:sz="0" w:space="0" w:color="auto"/>
      </w:divBdr>
    </w:div>
    <w:div w:id="1404334323">
      <w:bodyDiv w:val="1"/>
      <w:marLeft w:val="0"/>
      <w:marRight w:val="0"/>
      <w:marTop w:val="0"/>
      <w:marBottom w:val="0"/>
      <w:divBdr>
        <w:top w:val="none" w:sz="0" w:space="0" w:color="auto"/>
        <w:left w:val="none" w:sz="0" w:space="0" w:color="auto"/>
        <w:bottom w:val="none" w:sz="0" w:space="0" w:color="auto"/>
        <w:right w:val="none" w:sz="0" w:space="0" w:color="auto"/>
      </w:divBdr>
    </w:div>
    <w:div w:id="1440758568">
      <w:bodyDiv w:val="1"/>
      <w:marLeft w:val="0"/>
      <w:marRight w:val="0"/>
      <w:marTop w:val="0"/>
      <w:marBottom w:val="0"/>
      <w:divBdr>
        <w:top w:val="none" w:sz="0" w:space="0" w:color="auto"/>
        <w:left w:val="none" w:sz="0" w:space="0" w:color="auto"/>
        <w:bottom w:val="none" w:sz="0" w:space="0" w:color="auto"/>
        <w:right w:val="none" w:sz="0" w:space="0" w:color="auto"/>
      </w:divBdr>
    </w:div>
    <w:div w:id="1450591207">
      <w:bodyDiv w:val="1"/>
      <w:marLeft w:val="0"/>
      <w:marRight w:val="0"/>
      <w:marTop w:val="0"/>
      <w:marBottom w:val="0"/>
      <w:divBdr>
        <w:top w:val="none" w:sz="0" w:space="0" w:color="auto"/>
        <w:left w:val="none" w:sz="0" w:space="0" w:color="auto"/>
        <w:bottom w:val="none" w:sz="0" w:space="0" w:color="auto"/>
        <w:right w:val="none" w:sz="0" w:space="0" w:color="auto"/>
      </w:divBdr>
    </w:div>
    <w:div w:id="1538808869">
      <w:bodyDiv w:val="1"/>
      <w:marLeft w:val="0"/>
      <w:marRight w:val="0"/>
      <w:marTop w:val="0"/>
      <w:marBottom w:val="0"/>
      <w:divBdr>
        <w:top w:val="none" w:sz="0" w:space="0" w:color="auto"/>
        <w:left w:val="none" w:sz="0" w:space="0" w:color="auto"/>
        <w:bottom w:val="none" w:sz="0" w:space="0" w:color="auto"/>
        <w:right w:val="none" w:sz="0" w:space="0" w:color="auto"/>
      </w:divBdr>
    </w:div>
    <w:div w:id="1801609521">
      <w:bodyDiv w:val="1"/>
      <w:marLeft w:val="0"/>
      <w:marRight w:val="0"/>
      <w:marTop w:val="0"/>
      <w:marBottom w:val="0"/>
      <w:divBdr>
        <w:top w:val="none" w:sz="0" w:space="0" w:color="auto"/>
        <w:left w:val="none" w:sz="0" w:space="0" w:color="auto"/>
        <w:bottom w:val="none" w:sz="0" w:space="0" w:color="auto"/>
        <w:right w:val="none" w:sz="0" w:space="0" w:color="auto"/>
      </w:divBdr>
    </w:div>
    <w:div w:id="1816488227">
      <w:bodyDiv w:val="1"/>
      <w:marLeft w:val="0"/>
      <w:marRight w:val="0"/>
      <w:marTop w:val="0"/>
      <w:marBottom w:val="0"/>
      <w:divBdr>
        <w:top w:val="none" w:sz="0" w:space="0" w:color="auto"/>
        <w:left w:val="none" w:sz="0" w:space="0" w:color="auto"/>
        <w:bottom w:val="none" w:sz="0" w:space="0" w:color="auto"/>
        <w:right w:val="none" w:sz="0" w:space="0" w:color="auto"/>
      </w:divBdr>
    </w:div>
    <w:div w:id="1919249922">
      <w:bodyDiv w:val="1"/>
      <w:marLeft w:val="0"/>
      <w:marRight w:val="0"/>
      <w:marTop w:val="0"/>
      <w:marBottom w:val="0"/>
      <w:divBdr>
        <w:top w:val="none" w:sz="0" w:space="0" w:color="auto"/>
        <w:left w:val="none" w:sz="0" w:space="0" w:color="auto"/>
        <w:bottom w:val="none" w:sz="0" w:space="0" w:color="auto"/>
        <w:right w:val="none" w:sz="0" w:space="0" w:color="auto"/>
      </w:divBdr>
    </w:div>
    <w:div w:id="1960989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WORK\POVERTY\New\MASTER\Vulnerabilities-Poverty%20(April%202023)(NEW).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WORK\POVERTY\New\Child-Poverty-AHC-estimates-2015-2022(July%20202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GB" sz="1200"/>
              <a:t>Poverty &amp; Internal Deprivation Relationship</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manualLayout>
          <c:layoutTarget val="inner"/>
          <c:xMode val="edge"/>
          <c:yMode val="edge"/>
          <c:x val="7.9247611383991987E-2"/>
          <c:y val="0.16060260786036912"/>
          <c:w val="0.81732410702627012"/>
          <c:h val="0.53951206266806429"/>
        </c:manualLayout>
      </c:layout>
      <c:areaChart>
        <c:grouping val="standard"/>
        <c:varyColors val="0"/>
        <c:ser>
          <c:idx val="3"/>
          <c:order val="3"/>
          <c:tx>
            <c:strRef>
              <c:f>'SIMPLIFIED TABLES'!$R$59</c:f>
              <c:strCache>
                <c:ptCount val="1"/>
                <c:pt idx="0">
                  <c:v>Estimated number of Children (0-15) in Relative Child Poverty 2021/22</c:v>
                </c:pt>
              </c:strCache>
            </c:strRef>
          </c:tx>
          <c:spPr>
            <a:solidFill>
              <a:schemeClr val="accent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'SIMPLIFIED TABLES'!$R$60:$R$69</c:f>
              <c:numCache>
                <c:formatCode>0</c:formatCode>
                <c:ptCount val="10"/>
                <c:pt idx="0">
                  <c:v>757.87500000000011</c:v>
                </c:pt>
                <c:pt idx="1">
                  <c:v>625.1</c:v>
                </c:pt>
                <c:pt idx="2">
                  <c:v>462.95000000000005</c:v>
                </c:pt>
                <c:pt idx="3">
                  <c:v>366.59999999999997</c:v>
                </c:pt>
                <c:pt idx="4">
                  <c:v>406.55</c:v>
                </c:pt>
                <c:pt idx="5">
                  <c:v>309.02499999999998</c:v>
                </c:pt>
                <c:pt idx="6">
                  <c:v>284.35000000000002</c:v>
                </c:pt>
                <c:pt idx="7">
                  <c:v>324.29999999999995</c:v>
                </c:pt>
                <c:pt idx="8">
                  <c:v>185.64999999999998</c:v>
                </c:pt>
                <c:pt idx="9">
                  <c:v>126.9</c:v>
                </c:pt>
              </c:numCache>
            </c:numRef>
          </c:val>
          <c:extLst>
            <c:ext xmlns:c16="http://schemas.microsoft.com/office/drawing/2014/chart" uri="{C3380CC4-5D6E-409C-BE32-E72D297353CC}">
              <c16:uniqueId val="{00000000-AC68-4319-BC08-380923644B9A}"/>
            </c:ext>
          </c:extLst>
        </c:ser>
        <c:dLbls>
          <c:showLegendKey val="0"/>
          <c:showVal val="0"/>
          <c:showCatName val="0"/>
          <c:showSerName val="0"/>
          <c:showPercent val="0"/>
          <c:showBubbleSize val="0"/>
        </c:dLbls>
        <c:axId val="584986063"/>
        <c:axId val="971509663"/>
      </c:areaChart>
      <c:lineChart>
        <c:grouping val="standard"/>
        <c:varyColors val="0"/>
        <c:ser>
          <c:idx val="2"/>
          <c:order val="2"/>
          <c:tx>
            <c:strRef>
              <c:f>'SIMPLIFIED TABLES'!$Q$59</c:f>
              <c:strCache>
                <c:ptCount val="1"/>
                <c:pt idx="0">
                  <c:v>Moray % Poverty</c:v>
                </c:pt>
              </c:strCache>
            </c:strRef>
          </c:tx>
          <c:spPr>
            <a:ln w="12700" cap="rnd">
              <a:solidFill>
                <a:srgbClr val="FF0000"/>
              </a:solidFill>
              <a:prstDash val="sysDash"/>
              <a:round/>
            </a:ln>
            <a:effectLst>
              <a:outerShdw blurRad="40000" dist="23000" dir="5400000" rotWithShape="0">
                <a:srgbClr val="000000">
                  <a:alpha val="35000"/>
                </a:srgbClr>
              </a:outerShdw>
            </a:effectLst>
          </c:spPr>
          <c:marker>
            <c:symbol val="none"/>
          </c:marker>
          <c:dLbls>
            <c:dLbl>
              <c:idx val="5"/>
              <c:layout>
                <c:manualLayout>
                  <c:x val="-2.7777783853408542E-2"/>
                  <c:y val="-9.2699917956923006E-2"/>
                </c:manualLayout>
              </c:layout>
              <c:spPr>
                <a:solidFill>
                  <a:srgbClr val="FF0000"/>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C68-4319-BC08-380923644B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'SIMPLIFIED TABLES'!$Q$60:$Q$69</c:f>
              <c:numCache>
                <c:formatCode>0.0%</c:formatCode>
                <c:ptCount val="10"/>
                <c:pt idx="0">
                  <c:v>0.24099999999999999</c:v>
                </c:pt>
                <c:pt idx="1">
                  <c:v>0.24099999999999999</c:v>
                </c:pt>
                <c:pt idx="2">
                  <c:v>0.24099999999999999</c:v>
                </c:pt>
                <c:pt idx="3">
                  <c:v>0.24099999999999999</c:v>
                </c:pt>
                <c:pt idx="4">
                  <c:v>0.24099999999999999</c:v>
                </c:pt>
                <c:pt idx="5">
                  <c:v>0.24099999999999999</c:v>
                </c:pt>
                <c:pt idx="6">
                  <c:v>0.24099999999999999</c:v>
                </c:pt>
                <c:pt idx="7">
                  <c:v>0.24099999999999999</c:v>
                </c:pt>
                <c:pt idx="8">
                  <c:v>0.24099999999999999</c:v>
                </c:pt>
                <c:pt idx="9">
                  <c:v>0.24099999999999999</c:v>
                </c:pt>
              </c:numCache>
            </c:numRef>
          </c:val>
          <c:smooth val="0"/>
          <c:extLst>
            <c:ext xmlns:c16="http://schemas.microsoft.com/office/drawing/2014/chart" uri="{C3380CC4-5D6E-409C-BE32-E72D297353CC}">
              <c16:uniqueId val="{00000002-AC68-4319-BC08-380923644B9A}"/>
            </c:ext>
          </c:extLst>
        </c:ser>
        <c:ser>
          <c:idx val="1"/>
          <c:order val="1"/>
          <c:tx>
            <c:strRef>
              <c:f>'SIMPLIFIED TABLES'!$P$59</c:f>
              <c:strCache>
                <c:ptCount val="1"/>
                <c:pt idx="0">
                  <c:v>% Estimated Relative Child Poverty by Internal Deprivation 2021/22</c:v>
                </c:pt>
              </c:strCache>
            </c:strRef>
          </c:tx>
          <c:spPr>
            <a:ln w="25400" cap="rnd">
              <a:solidFill>
                <a:srgbClr val="C00000"/>
              </a:solidFill>
              <a:prstDash val="solid"/>
              <a:round/>
            </a:ln>
            <a:effectLst>
              <a:outerShdw blurRad="40000" dist="23000" dir="5400000" rotWithShape="0">
                <a:srgbClr val="000000">
                  <a:alpha val="35000"/>
                </a:srgbClr>
              </a:outerShdw>
            </a:effectLst>
          </c:spPr>
          <c:marker>
            <c:symbol val="none"/>
          </c:marker>
          <c:dLbls>
            <c:dLbl>
              <c:idx val="0"/>
              <c:layout>
                <c:manualLayout>
                  <c:x val="2.7777783853408541E-3"/>
                  <c:y val="-3.7079967182769222E-2"/>
                </c:manualLayout>
              </c:layout>
              <c:spPr>
                <a:solidFill>
                  <a:srgbClr val="C00000"/>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C68-4319-BC08-380923644B9A}"/>
                </c:ext>
              </c:extLst>
            </c:dLbl>
            <c:dLbl>
              <c:idx val="9"/>
              <c:layout>
                <c:manualLayout>
                  <c:x val="-3.8888897394771957E-2"/>
                  <c:y val="-7.8794930263384633E-2"/>
                </c:manualLayout>
              </c:layout>
              <c:spPr>
                <a:solidFill>
                  <a:srgbClr val="C00000"/>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C68-4319-BC08-380923644B9A}"/>
                </c:ext>
              </c:extLst>
            </c:dLbl>
            <c:spPr>
              <a:solidFill>
                <a:schemeClr val="accent2"/>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'SIMPLIFIED TABLES'!$P$60:$P$69</c:f>
              <c:numCache>
                <c:formatCode>0.0%</c:formatCode>
                <c:ptCount val="10"/>
                <c:pt idx="0">
                  <c:v>0.45682640144665471</c:v>
                </c:pt>
                <c:pt idx="1">
                  <c:v>0.36049596309111881</c:v>
                </c:pt>
                <c:pt idx="2">
                  <c:v>0.33693595342066962</c:v>
                </c:pt>
                <c:pt idx="3">
                  <c:v>0.26092526690391454</c:v>
                </c:pt>
                <c:pt idx="4">
                  <c:v>0.28057280883367841</c:v>
                </c:pt>
                <c:pt idx="5">
                  <c:v>0.22216031631919481</c:v>
                </c:pt>
                <c:pt idx="6">
                  <c:v>0.19449384404924763</c:v>
                </c:pt>
                <c:pt idx="7">
                  <c:v>0.15147127510509106</c:v>
                </c:pt>
                <c:pt idx="8">
                  <c:v>0.12838865836791147</c:v>
                </c:pt>
                <c:pt idx="9">
                  <c:v>6.7500000000000004E-2</c:v>
                </c:pt>
              </c:numCache>
            </c:numRef>
          </c:val>
          <c:smooth val="0"/>
          <c:extLst>
            <c:ext xmlns:c16="http://schemas.microsoft.com/office/drawing/2014/chart" uri="{C3380CC4-5D6E-409C-BE32-E72D297353CC}">
              <c16:uniqueId val="{00000005-AC68-4319-BC08-380923644B9A}"/>
            </c:ext>
          </c:extLst>
        </c:ser>
        <c:dLbls>
          <c:showLegendKey val="0"/>
          <c:showVal val="0"/>
          <c:showCatName val="0"/>
          <c:showSerName val="0"/>
          <c:showPercent val="0"/>
          <c:showBubbleSize val="0"/>
        </c:dLbls>
        <c:marker val="1"/>
        <c:smooth val="0"/>
        <c:axId val="707992767"/>
        <c:axId val="1498701727"/>
        <c:extLst>
          <c:ext xmlns:c15="http://schemas.microsoft.com/office/drawing/2012/chart" uri="{02D57815-91ED-43cb-92C2-25804820EDAC}">
            <c15:filteredLineSeries>
              <c15:ser>
                <c:idx val="0"/>
                <c:order val="0"/>
                <c:tx>
                  <c:strRef>
                    <c:extLst>
                      <c:ext uri="{02D57815-91ED-43cb-92C2-25804820EDAC}">
                        <c15:formulaRef>
                          <c15:sqref>'SIMPLIFIED TABLES'!$O$59</c15:sqref>
                        </c15:formulaRef>
                      </c:ext>
                    </c:extLst>
                    <c:strCache>
                      <c:ptCount val="1"/>
                      <c:pt idx="0">
                        <c:v>SIMD DECILE</c:v>
                      </c:pt>
                    </c:strCache>
                  </c:strRef>
                </c:tx>
                <c:spPr>
                  <a:ln w="34925" cap="rnd">
                    <a:solidFill>
                      <a:schemeClr val="accent2"/>
                    </a:solidFill>
                    <a:round/>
                  </a:ln>
                  <a:effectLst>
                    <a:outerShdw blurRad="40000" dist="23000" dir="5400000" rotWithShape="0">
                      <a:srgbClr val="000000">
                        <a:alpha val="35000"/>
                      </a:srgbClr>
                    </a:outerShdw>
                  </a:effectLst>
                </c:spPr>
                <c:marker>
                  <c:symbol val="none"/>
                </c:marker>
                <c:dLbls>
                  <c:dLbl>
                    <c:idx val="1"/>
                    <c:layout>
                      <c:manualLayout>
                        <c:x val="-5.2777777777777805E-2"/>
                        <c:y val="-5.5587734515314367E-2"/>
                      </c:manualLayout>
                    </c:layout>
                    <c:showLegendKey val="0"/>
                    <c:showVal val="1"/>
                    <c:showCatName val="0"/>
                    <c:showSerName val="0"/>
                    <c:showPercent val="0"/>
                    <c:showBubbleSize val="0"/>
                    <c:extLst>
                      <c:ext uri="{CE6537A1-D6FC-4f65-9D91-7224C49458BB}"/>
                      <c:ext xmlns:c16="http://schemas.microsoft.com/office/drawing/2014/chart" uri="{C3380CC4-5D6E-409C-BE32-E72D297353CC}">
                        <c16:uniqueId val="{00000006-AC68-4319-BC08-380923644B9A}"/>
                      </c:ext>
                    </c:extLst>
                  </c:dLbl>
                  <c:dLbl>
                    <c:idx val="5"/>
                    <c:layout>
                      <c:manualLayout>
                        <c:x val="-8.3333333333334356E-3"/>
                        <c:y val="-0.20845400443242881"/>
                      </c:manualLayout>
                    </c:layout>
                    <c:showLegendKey val="0"/>
                    <c:showVal val="1"/>
                    <c:showCatName val="0"/>
                    <c:showSerName val="0"/>
                    <c:showPercent val="0"/>
                    <c:showBubbleSize val="0"/>
                    <c:extLst>
                      <c:ext uri="{CE6537A1-D6FC-4f65-9D91-7224C49458BB}"/>
                      <c:ext xmlns:c16="http://schemas.microsoft.com/office/drawing/2014/chart" uri="{C3380CC4-5D6E-409C-BE32-E72D297353CC}">
                        <c16:uniqueId val="{00000007-AC68-4319-BC08-380923644B9A}"/>
                      </c:ext>
                    </c:extLst>
                  </c:dLbl>
                  <c:dLbl>
                    <c:idx val="8"/>
                    <c:layout>
                      <c:manualLayout>
                        <c:x val="-1.388888888888899E-2"/>
                        <c:y val="-5.0955423305704822E-2"/>
                      </c:manualLayout>
                    </c:layout>
                    <c:showLegendKey val="0"/>
                    <c:showVal val="1"/>
                    <c:showCatName val="0"/>
                    <c:showSerName val="0"/>
                    <c:showPercent val="0"/>
                    <c:showBubbleSize val="0"/>
                    <c:extLst>
                      <c:ext uri="{CE6537A1-D6FC-4f65-9D91-7224C49458BB}"/>
                      <c:ext xmlns:c16="http://schemas.microsoft.com/office/drawing/2014/chart" uri="{C3380CC4-5D6E-409C-BE32-E72D297353CC}">
                        <c16:uniqueId val="{00000008-AC68-4319-BC08-380923644B9A}"/>
                      </c:ext>
                    </c:extLst>
                  </c:dLbl>
                  <c:spPr>
                    <a:solidFill>
                      <a:schemeClr val="accent2"/>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lumMod val="85000"/>
                            </a:schemeClr>
                          </a:solidFill>
                          <a:latin typeface="+mn-lt"/>
                          <a:ea typeface="+mn-ea"/>
                          <a:cs typeface="+mn-cs"/>
                        </a:defRPr>
                      </a:pPr>
                      <a:endParaRPr lang="en-US"/>
                    </a:p>
                  </c:txPr>
                  <c:showLegendKey val="0"/>
                  <c:showVal val="0"/>
                  <c:showCatName val="0"/>
                  <c:showSerName val="0"/>
                  <c:showPercent val="0"/>
                  <c:showBubbleSize val="0"/>
                  <c:extLst>
                    <c:ext uri="{CE6537A1-D6FC-4f65-9D91-7224C49458BB}">
                      <c15:showLeaderLines val="1"/>
                      <c15:leaderLines>
                        <c:spPr>
                          <a:ln w="9525">
                            <a:solidFill>
                              <a:schemeClr val="lt1">
                                <a:lumMod val="95000"/>
                                <a:alpha val="54000"/>
                              </a:schemeClr>
                            </a:solidFill>
                          </a:ln>
                          <a:effectLst/>
                        </c:spPr>
                      </c15:leaderLines>
                    </c:ext>
                  </c:extLst>
                </c:dLbls>
                <c:val>
                  <c:numRef>
                    <c:extLst>
                      <c:ext uri="{02D57815-91ED-43cb-92C2-25804820EDAC}">
                        <c15:formulaRef>
                          <c15:sqref>'SIMPLIFIED TABLES'!$O$60:$O$69</c15:sqref>
                        </c15:formulaRef>
                      </c:ext>
                    </c:extLst>
                    <c:numCache>
                      <c:formatCode>0</c:formatCode>
                      <c:ptCount val="10"/>
                      <c:pt idx="0">
                        <c:v>1</c:v>
                      </c:pt>
                      <c:pt idx="1">
                        <c:v>2</c:v>
                      </c:pt>
                      <c:pt idx="2">
                        <c:v>3</c:v>
                      </c:pt>
                      <c:pt idx="3">
                        <c:v>4</c:v>
                      </c:pt>
                      <c:pt idx="4">
                        <c:v>5</c:v>
                      </c:pt>
                      <c:pt idx="5">
                        <c:v>6</c:v>
                      </c:pt>
                      <c:pt idx="6">
                        <c:v>7</c:v>
                      </c:pt>
                      <c:pt idx="7">
                        <c:v>8</c:v>
                      </c:pt>
                      <c:pt idx="8">
                        <c:v>9</c:v>
                      </c:pt>
                      <c:pt idx="9">
                        <c:v>10</c:v>
                      </c:pt>
                    </c:numCache>
                  </c:numRef>
                </c:val>
                <c:smooth val="0"/>
                <c:extLst>
                  <c:ext xmlns:c16="http://schemas.microsoft.com/office/drawing/2014/chart" uri="{C3380CC4-5D6E-409C-BE32-E72D297353CC}">
                    <c16:uniqueId val="{00000009-AC68-4319-BC08-380923644B9A}"/>
                  </c:ext>
                </c:extLst>
              </c15:ser>
            </c15:filteredLineSeries>
          </c:ext>
        </c:extLst>
      </c:lineChart>
      <c:catAx>
        <c:axId val="707992767"/>
        <c:scaling>
          <c:orientation val="minMax"/>
        </c:scaling>
        <c:delete val="0"/>
        <c:axPos val="b"/>
        <c:numFmt formatCode="0"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498701727"/>
        <c:crosses val="autoZero"/>
        <c:auto val="1"/>
        <c:lblAlgn val="ctr"/>
        <c:lblOffset val="100"/>
        <c:noMultiLvlLbl val="0"/>
      </c:catAx>
      <c:valAx>
        <c:axId val="1498701727"/>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707992767"/>
        <c:crosses val="autoZero"/>
        <c:crossBetween val="between"/>
      </c:valAx>
      <c:valAx>
        <c:axId val="971509663"/>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84986063"/>
        <c:crosses val="max"/>
        <c:crossBetween val="between"/>
      </c:valAx>
      <c:catAx>
        <c:axId val="584986063"/>
        <c:scaling>
          <c:orientation val="minMax"/>
        </c:scaling>
        <c:delete val="1"/>
        <c:axPos val="b"/>
        <c:numFmt formatCode="0" sourceLinked="1"/>
        <c:majorTickMark val="none"/>
        <c:minorTickMark val="none"/>
        <c:tickLblPos val="nextTo"/>
        <c:crossAx val="971509663"/>
        <c:crosses val="autoZero"/>
        <c:auto val="1"/>
        <c:lblAlgn val="ctr"/>
        <c:lblOffset val="100"/>
        <c:noMultiLvlLbl val="0"/>
      </c:catAx>
      <c:spPr>
        <a:noFill/>
        <a:ln>
          <a:noFill/>
        </a:ln>
        <a:effectLst/>
      </c:spPr>
    </c:plotArea>
    <c:legend>
      <c:legendPos val="b"/>
      <c:layout>
        <c:manualLayout>
          <c:xMode val="edge"/>
          <c:yMode val="edge"/>
          <c:x val="3.8067374905375095E-2"/>
          <c:y val="0.80300355033386572"/>
          <c:w val="0.93219858534527256"/>
          <c:h val="0.1691864742790574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GB" sz="1200"/>
              <a:t>Poverty Forecast</a:t>
            </a:r>
            <a:r>
              <a:rPr lang="en-GB" sz="1200" baseline="0"/>
              <a:t>, based on 3-year average trend (2014/22)</a:t>
            </a:r>
            <a:endParaRPr lang="en-GB" sz="1200"/>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lineChart>
        <c:grouping val="standard"/>
        <c:varyColors val="0"/>
        <c:ser>
          <c:idx val="0"/>
          <c:order val="0"/>
          <c:tx>
            <c:strRef>
              <c:f>'Local Authority'!$B$640</c:f>
              <c:strCache>
                <c:ptCount val="1"/>
                <c:pt idx="0">
                  <c:v>Comparator Median</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strRef>
              <c:f>'Local Authority'!$C$639:$R$639</c:f>
              <c:strCache>
                <c:ptCount val="16"/>
                <c:pt idx="0">
                  <c:v>2014/15</c:v>
                </c:pt>
                <c:pt idx="1">
                  <c:v>2015/16</c:v>
                </c:pt>
                <c:pt idx="2">
                  <c:v>2016/17</c:v>
                </c:pt>
                <c:pt idx="3">
                  <c:v>2017/18</c:v>
                </c:pt>
                <c:pt idx="4">
                  <c:v>2018/19</c:v>
                </c:pt>
                <c:pt idx="5">
                  <c:v>2019/20</c:v>
                </c:pt>
                <c:pt idx="6">
                  <c:v>2020/21</c:v>
                </c:pt>
                <c:pt idx="7">
                  <c:v>2021/22</c:v>
                </c:pt>
                <c:pt idx="8">
                  <c:v>2022/23</c:v>
                </c:pt>
                <c:pt idx="9">
                  <c:v>2023/24</c:v>
                </c:pt>
                <c:pt idx="10">
                  <c:v>2024/25</c:v>
                </c:pt>
                <c:pt idx="11">
                  <c:v>2025/26</c:v>
                </c:pt>
                <c:pt idx="12">
                  <c:v>2026/27</c:v>
                </c:pt>
                <c:pt idx="13">
                  <c:v>2027/28</c:v>
                </c:pt>
                <c:pt idx="14">
                  <c:v>2028/29</c:v>
                </c:pt>
                <c:pt idx="15">
                  <c:v>2029/30</c:v>
                </c:pt>
              </c:strCache>
            </c:strRef>
          </c:cat>
          <c:val>
            <c:numRef>
              <c:f>'Local Authority'!$C$640:$R$640</c:f>
              <c:numCache>
                <c:formatCode>0.0%</c:formatCode>
                <c:ptCount val="16"/>
                <c:pt idx="0">
                  <c:v>0.21074637770652771</c:v>
                </c:pt>
                <c:pt idx="1">
                  <c:v>0.222084641456604</c:v>
                </c:pt>
                <c:pt idx="2">
                  <c:v>0.23175196349620819</c:v>
                </c:pt>
                <c:pt idx="3">
                  <c:v>0.23902569711208344</c:v>
                </c:pt>
                <c:pt idx="4">
                  <c:v>0.22490561008453369</c:v>
                </c:pt>
                <c:pt idx="5">
                  <c:v>0.23896877467632294</c:v>
                </c:pt>
                <c:pt idx="6">
                  <c:v>0.19535671174526215</c:v>
                </c:pt>
                <c:pt idx="7">
                  <c:v>0.22738546133041382</c:v>
                </c:pt>
              </c:numCache>
            </c:numRef>
          </c:val>
          <c:smooth val="0"/>
          <c:extLst>
            <c:ext xmlns:c16="http://schemas.microsoft.com/office/drawing/2014/chart" uri="{C3380CC4-5D6E-409C-BE32-E72D297353CC}">
              <c16:uniqueId val="{00000000-D7D4-4548-883F-2803C25154A1}"/>
            </c:ext>
          </c:extLst>
        </c:ser>
        <c:ser>
          <c:idx val="1"/>
          <c:order val="1"/>
          <c:tx>
            <c:strRef>
              <c:f>'Local Authority'!$B$641</c:f>
              <c:strCache>
                <c:ptCount val="1"/>
                <c:pt idx="0">
                  <c:v>Moray</c:v>
                </c:pt>
              </c:strCache>
            </c:strRef>
          </c:tx>
          <c:spPr>
            <a:ln w="34925" cap="rnd">
              <a:solidFill>
                <a:srgbClr val="C00000"/>
              </a:solidFill>
              <a:round/>
            </a:ln>
            <a:effectLst>
              <a:outerShdw blurRad="57150" dist="19050" dir="5400000" algn="ctr" rotWithShape="0">
                <a:srgbClr val="000000">
                  <a:alpha val="63000"/>
                </a:srgbClr>
              </a:outerShdw>
            </a:effectLst>
          </c:spPr>
          <c:marker>
            <c:symbol val="none"/>
          </c:marker>
          <c:cat>
            <c:strRef>
              <c:f>'Local Authority'!$C$639:$R$639</c:f>
              <c:strCache>
                <c:ptCount val="16"/>
                <c:pt idx="0">
                  <c:v>2014/15</c:v>
                </c:pt>
                <c:pt idx="1">
                  <c:v>2015/16</c:v>
                </c:pt>
                <c:pt idx="2">
                  <c:v>2016/17</c:v>
                </c:pt>
                <c:pt idx="3">
                  <c:v>2017/18</c:v>
                </c:pt>
                <c:pt idx="4">
                  <c:v>2018/19</c:v>
                </c:pt>
                <c:pt idx="5">
                  <c:v>2019/20</c:v>
                </c:pt>
                <c:pt idx="6">
                  <c:v>2020/21</c:v>
                </c:pt>
                <c:pt idx="7">
                  <c:v>2021/22</c:v>
                </c:pt>
                <c:pt idx="8">
                  <c:v>2022/23</c:v>
                </c:pt>
                <c:pt idx="9">
                  <c:v>2023/24</c:v>
                </c:pt>
                <c:pt idx="10">
                  <c:v>2024/25</c:v>
                </c:pt>
                <c:pt idx="11">
                  <c:v>2025/26</c:v>
                </c:pt>
                <c:pt idx="12">
                  <c:v>2026/27</c:v>
                </c:pt>
                <c:pt idx="13">
                  <c:v>2027/28</c:v>
                </c:pt>
                <c:pt idx="14">
                  <c:v>2028/29</c:v>
                </c:pt>
                <c:pt idx="15">
                  <c:v>2029/30</c:v>
                </c:pt>
              </c:strCache>
            </c:strRef>
          </c:cat>
          <c:val>
            <c:numRef>
              <c:f>'Local Authority'!$C$641:$R$641</c:f>
              <c:numCache>
                <c:formatCode>0.0%</c:formatCode>
                <c:ptCount val="16"/>
                <c:pt idx="0">
                  <c:v>0.2082255482673645</c:v>
                </c:pt>
                <c:pt idx="1">
                  <c:v>0.22037237882614136</c:v>
                </c:pt>
                <c:pt idx="2">
                  <c:v>0.23078459501266479</c:v>
                </c:pt>
                <c:pt idx="3">
                  <c:v>0.23156867921352386</c:v>
                </c:pt>
                <c:pt idx="4">
                  <c:v>0.21901316940784454</c:v>
                </c:pt>
                <c:pt idx="5">
                  <c:v>0.23390127718448639</c:v>
                </c:pt>
                <c:pt idx="6">
                  <c:v>0.21347209811210632</c:v>
                </c:pt>
                <c:pt idx="7">
                  <c:v>0.24068824946880341</c:v>
                </c:pt>
              </c:numCache>
            </c:numRef>
          </c:val>
          <c:smooth val="0"/>
          <c:extLst>
            <c:ext xmlns:c16="http://schemas.microsoft.com/office/drawing/2014/chart" uri="{C3380CC4-5D6E-409C-BE32-E72D297353CC}">
              <c16:uniqueId val="{00000001-D7D4-4548-883F-2803C25154A1}"/>
            </c:ext>
          </c:extLst>
        </c:ser>
        <c:ser>
          <c:idx val="2"/>
          <c:order val="2"/>
          <c:tx>
            <c:strRef>
              <c:f>'Local Authority'!$B$642</c:f>
              <c:strCache>
                <c:ptCount val="1"/>
                <c:pt idx="0">
                  <c:v>Comparator Predicted Forecast</c:v>
                </c:pt>
              </c:strCache>
            </c:strRef>
          </c:tx>
          <c:spPr>
            <a:ln w="25400" cap="rnd">
              <a:solidFill>
                <a:srgbClr val="0070C0"/>
              </a:solidFill>
              <a:prstDash val="sysDash"/>
              <a:round/>
            </a:ln>
            <a:effectLst>
              <a:outerShdw blurRad="57150" dist="19050" dir="5400000" algn="ctr" rotWithShape="0">
                <a:srgbClr val="000000">
                  <a:alpha val="63000"/>
                </a:srgbClr>
              </a:outerShdw>
            </a:effectLst>
          </c:spPr>
          <c:marker>
            <c:symbol val="none"/>
          </c:marker>
          <c:dLbls>
            <c:dLbl>
              <c:idx val="7"/>
              <c:layout>
                <c:manualLayout>
                  <c:x val="-2.5017373175816541E-2"/>
                  <c:y val="9.24855491329478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7D4-4548-883F-2803C25154A1}"/>
                </c:ext>
              </c:extLst>
            </c:dLbl>
            <c:dLbl>
              <c:idx val="15"/>
              <c:layout>
                <c:manualLayout>
                  <c:x val="-2.9101133634891488E-2"/>
                  <c:y val="0.118856548033931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7D4-4548-883F-2803C25154A1}"/>
                </c:ext>
              </c:extLst>
            </c:dLbl>
            <c:spPr>
              <a:solidFill>
                <a:schemeClr val="accent1">
                  <a:lumMod val="75000"/>
                </a:schemeClr>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'Local Authority'!$C$639:$R$639</c:f>
              <c:strCache>
                <c:ptCount val="16"/>
                <c:pt idx="0">
                  <c:v>2014/15</c:v>
                </c:pt>
                <c:pt idx="1">
                  <c:v>2015/16</c:v>
                </c:pt>
                <c:pt idx="2">
                  <c:v>2016/17</c:v>
                </c:pt>
                <c:pt idx="3">
                  <c:v>2017/18</c:v>
                </c:pt>
                <c:pt idx="4">
                  <c:v>2018/19</c:v>
                </c:pt>
                <c:pt idx="5">
                  <c:v>2019/20</c:v>
                </c:pt>
                <c:pt idx="6">
                  <c:v>2020/21</c:v>
                </c:pt>
                <c:pt idx="7">
                  <c:v>2021/22</c:v>
                </c:pt>
                <c:pt idx="8">
                  <c:v>2022/23</c:v>
                </c:pt>
                <c:pt idx="9">
                  <c:v>2023/24</c:v>
                </c:pt>
                <c:pt idx="10">
                  <c:v>2024/25</c:v>
                </c:pt>
                <c:pt idx="11">
                  <c:v>2025/26</c:v>
                </c:pt>
                <c:pt idx="12">
                  <c:v>2026/27</c:v>
                </c:pt>
                <c:pt idx="13">
                  <c:v>2027/28</c:v>
                </c:pt>
                <c:pt idx="14">
                  <c:v>2028/29</c:v>
                </c:pt>
                <c:pt idx="15">
                  <c:v>2029/30</c:v>
                </c:pt>
              </c:strCache>
            </c:strRef>
          </c:cat>
          <c:val>
            <c:numRef>
              <c:f>'Local Authority'!$C$642:$R$642</c:f>
              <c:numCache>
                <c:formatCode>General</c:formatCode>
                <c:ptCount val="16"/>
                <c:pt idx="7" formatCode="0.0%">
                  <c:v>0.22738546133041382</c:v>
                </c:pt>
                <c:pt idx="8" formatCode="0.0%">
                  <c:v>0.22724255394367945</c:v>
                </c:pt>
                <c:pt idx="9" formatCode="0.0%">
                  <c:v>0.22709964655694509</c:v>
                </c:pt>
                <c:pt idx="10" formatCode="0.0%">
                  <c:v>0.22695673917021073</c:v>
                </c:pt>
                <c:pt idx="11" formatCode="0.0%">
                  <c:v>0.22681383178347636</c:v>
                </c:pt>
                <c:pt idx="12" formatCode="0.0%">
                  <c:v>0.226670924396742</c:v>
                </c:pt>
                <c:pt idx="13" formatCode="0.0%">
                  <c:v>0.22652801701000763</c:v>
                </c:pt>
                <c:pt idx="14" formatCode="0.0%">
                  <c:v>0.22638510962327327</c:v>
                </c:pt>
                <c:pt idx="15" formatCode="0.0%">
                  <c:v>0.2262422022365389</c:v>
                </c:pt>
              </c:numCache>
            </c:numRef>
          </c:val>
          <c:smooth val="0"/>
          <c:extLst>
            <c:ext xmlns:c16="http://schemas.microsoft.com/office/drawing/2014/chart" uri="{C3380CC4-5D6E-409C-BE32-E72D297353CC}">
              <c16:uniqueId val="{00000004-D7D4-4548-883F-2803C25154A1}"/>
            </c:ext>
          </c:extLst>
        </c:ser>
        <c:ser>
          <c:idx val="3"/>
          <c:order val="3"/>
          <c:tx>
            <c:strRef>
              <c:f>'Local Authority'!$B$643</c:f>
              <c:strCache>
                <c:ptCount val="1"/>
                <c:pt idx="0">
                  <c:v>Moray Predicted Forecast</c:v>
                </c:pt>
              </c:strCache>
            </c:strRef>
          </c:tx>
          <c:spPr>
            <a:ln w="25400" cap="rnd">
              <a:solidFill>
                <a:srgbClr val="C00000"/>
              </a:solidFill>
              <a:prstDash val="sysDash"/>
              <a:round/>
            </a:ln>
            <a:effectLst>
              <a:outerShdw blurRad="57150" dist="19050" dir="5400000" algn="ctr" rotWithShape="0">
                <a:srgbClr val="000000">
                  <a:alpha val="63000"/>
                </a:srgbClr>
              </a:outerShdw>
            </a:effectLst>
          </c:spPr>
          <c:marker>
            <c:symbol val="none"/>
          </c:marker>
          <c:dLbls>
            <c:dLbl>
              <c:idx val="7"/>
              <c:layout>
                <c:manualLayout>
                  <c:x val="-3.6136205698401667E-2"/>
                  <c:y val="-9.24855491329479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7D4-4548-883F-2803C25154A1}"/>
                </c:ext>
              </c:extLst>
            </c:dLbl>
            <c:dLbl>
              <c:idx val="15"/>
              <c:layout>
                <c:manualLayout>
                  <c:x val="-2.7797062601217504E-2"/>
                  <c:y val="-0.106501617719122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7D4-4548-883F-2803C25154A1}"/>
                </c:ext>
              </c:extLst>
            </c:dLbl>
            <c:spPr>
              <a:solidFill>
                <a:srgbClr val="C00000"/>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'Local Authority'!$C$639:$R$639</c:f>
              <c:strCache>
                <c:ptCount val="16"/>
                <c:pt idx="0">
                  <c:v>2014/15</c:v>
                </c:pt>
                <c:pt idx="1">
                  <c:v>2015/16</c:v>
                </c:pt>
                <c:pt idx="2">
                  <c:v>2016/17</c:v>
                </c:pt>
                <c:pt idx="3">
                  <c:v>2017/18</c:v>
                </c:pt>
                <c:pt idx="4">
                  <c:v>2018/19</c:v>
                </c:pt>
                <c:pt idx="5">
                  <c:v>2019/20</c:v>
                </c:pt>
                <c:pt idx="6">
                  <c:v>2020/21</c:v>
                </c:pt>
                <c:pt idx="7">
                  <c:v>2021/22</c:v>
                </c:pt>
                <c:pt idx="8">
                  <c:v>2022/23</c:v>
                </c:pt>
                <c:pt idx="9">
                  <c:v>2023/24</c:v>
                </c:pt>
                <c:pt idx="10">
                  <c:v>2024/25</c:v>
                </c:pt>
                <c:pt idx="11">
                  <c:v>2025/26</c:v>
                </c:pt>
                <c:pt idx="12">
                  <c:v>2026/27</c:v>
                </c:pt>
                <c:pt idx="13">
                  <c:v>2027/28</c:v>
                </c:pt>
                <c:pt idx="14">
                  <c:v>2028/29</c:v>
                </c:pt>
                <c:pt idx="15">
                  <c:v>2029/30</c:v>
                </c:pt>
              </c:strCache>
            </c:strRef>
          </c:cat>
          <c:val>
            <c:numRef>
              <c:f>'Local Authority'!$C$643:$R$643</c:f>
              <c:numCache>
                <c:formatCode>General</c:formatCode>
                <c:ptCount val="16"/>
                <c:pt idx="7" formatCode="0.0%">
                  <c:v>0.24068824946880341</c:v>
                </c:pt>
                <c:pt idx="8" formatCode="0.0%">
                  <c:v>0.2426001896460851</c:v>
                </c:pt>
                <c:pt idx="9" formatCode="0.0%">
                  <c:v>0.24451212982336679</c:v>
                </c:pt>
                <c:pt idx="10" formatCode="0.0%">
                  <c:v>0.24642407000064848</c:v>
                </c:pt>
                <c:pt idx="11" formatCode="0.0%">
                  <c:v>0.24833601017793017</c:v>
                </c:pt>
                <c:pt idx="12" formatCode="0.0%">
                  <c:v>0.25024795035521186</c:v>
                </c:pt>
                <c:pt idx="13" formatCode="0.0%">
                  <c:v>0.25215989053249355</c:v>
                </c:pt>
                <c:pt idx="14" formatCode="0.0%">
                  <c:v>0.25407183070977524</c:v>
                </c:pt>
                <c:pt idx="15" formatCode="0.0%">
                  <c:v>0.25598377088705693</c:v>
                </c:pt>
              </c:numCache>
            </c:numRef>
          </c:val>
          <c:smooth val="0"/>
          <c:extLst>
            <c:ext xmlns:c16="http://schemas.microsoft.com/office/drawing/2014/chart" uri="{C3380CC4-5D6E-409C-BE32-E72D297353CC}">
              <c16:uniqueId val="{00000007-D7D4-4548-883F-2803C25154A1}"/>
            </c:ext>
          </c:extLst>
        </c:ser>
        <c:dLbls>
          <c:showLegendKey val="0"/>
          <c:showVal val="0"/>
          <c:showCatName val="0"/>
          <c:showSerName val="0"/>
          <c:showPercent val="0"/>
          <c:showBubbleSize val="0"/>
        </c:dLbls>
        <c:smooth val="0"/>
        <c:axId val="1656255759"/>
        <c:axId val="1687625903"/>
      </c:lineChart>
      <c:catAx>
        <c:axId val="1656255759"/>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1800000" spcFirstLastPara="1" vertOverflow="ellipsis" wrap="square" anchor="ctr" anchorCtr="1"/>
          <a:lstStyle/>
          <a:p>
            <a:pPr>
              <a:defRPr sz="800" b="0" i="0" u="none" strike="noStrike" kern="1200" baseline="0">
                <a:solidFill>
                  <a:schemeClr val="lt1">
                    <a:lumMod val="85000"/>
                  </a:schemeClr>
                </a:solidFill>
                <a:latin typeface="+mn-lt"/>
                <a:ea typeface="+mn-ea"/>
                <a:cs typeface="+mn-cs"/>
              </a:defRPr>
            </a:pPr>
            <a:endParaRPr lang="en-US"/>
          </a:p>
        </c:txPr>
        <c:crossAx val="1687625903"/>
        <c:crosses val="autoZero"/>
        <c:auto val="1"/>
        <c:lblAlgn val="ctr"/>
        <c:lblOffset val="100"/>
        <c:noMultiLvlLbl val="0"/>
      </c:catAx>
      <c:valAx>
        <c:axId val="1687625903"/>
        <c:scaling>
          <c:orientation val="minMax"/>
          <c:max val="0.30000000000000004"/>
          <c:min val="0.15000000000000002"/>
        </c:scaling>
        <c:delete val="0"/>
        <c:axPos val="l"/>
        <c:majorGridlines>
          <c:spPr>
            <a:ln w="9525" cap="flat" cmpd="sng" algn="ctr">
              <a:solidFill>
                <a:schemeClr val="lt1">
                  <a:lumMod val="95000"/>
                  <a:alpha val="10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lt1">
                    <a:lumMod val="85000"/>
                  </a:schemeClr>
                </a:solidFill>
                <a:latin typeface="+mn-lt"/>
                <a:ea typeface="+mn-ea"/>
                <a:cs typeface="+mn-cs"/>
              </a:defRPr>
            </a:pPr>
            <a:endParaRPr lang="en-US"/>
          </a:p>
        </c:txPr>
        <c:crossAx val="1656255759"/>
        <c:crosses val="autoZero"/>
        <c:crossBetween val="between"/>
      </c:valAx>
      <c:spPr>
        <a:noFill/>
        <a:ln>
          <a:noFill/>
        </a:ln>
        <a:effectLst/>
      </c:spPr>
    </c:plotArea>
    <c:legend>
      <c:legendPos val="b"/>
      <c:layout>
        <c:manualLayout>
          <c:xMode val="edge"/>
          <c:yMode val="edge"/>
          <c:x val="4.5633700848240026E-2"/>
          <c:y val="0.81800218536656633"/>
          <c:w val="0.90486905285187813"/>
          <c:h val="0.1498004863810268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CA00F-4D18-4C58-93BE-BE1D0F4A8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4031</Words>
  <Characters>22979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Sneddon</dc:creator>
  <cp:keywords/>
  <dc:description/>
  <cp:lastModifiedBy>Iain Sneddon</cp:lastModifiedBy>
  <cp:revision>4</cp:revision>
  <dcterms:created xsi:type="dcterms:W3CDTF">2024-06-07T08:27:00Z</dcterms:created>
  <dcterms:modified xsi:type="dcterms:W3CDTF">2024-06-17T15:25:00Z</dcterms:modified>
</cp:coreProperties>
</file>