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CA4D0" w14:textId="5F554D63" w:rsidR="00557934" w:rsidRDefault="00557934" w:rsidP="00666C6E">
      <w:pPr>
        <w:rPr>
          <w:b/>
        </w:rPr>
      </w:pPr>
      <w:r>
        <w:rPr>
          <w:b/>
        </w:rPr>
        <w:t xml:space="preserve">EQUALITY IMPACT ASSESSMENT MONITORING SHEET </w:t>
      </w:r>
      <w:r w:rsidR="00C9148B">
        <w:rPr>
          <w:b/>
        </w:rPr>
        <w:t>A</w:t>
      </w:r>
      <w:r w:rsidR="006F6686">
        <w:rPr>
          <w:b/>
        </w:rPr>
        <w:t>PRI</w:t>
      </w:r>
      <w:r w:rsidR="00611FF0">
        <w:rPr>
          <w:b/>
        </w:rPr>
        <w:t>L 202</w:t>
      </w:r>
      <w:r w:rsidR="005F0ED0">
        <w:rPr>
          <w:b/>
        </w:rPr>
        <w:t>5</w:t>
      </w:r>
      <w:r>
        <w:rPr>
          <w:b/>
        </w:rPr>
        <w:t xml:space="preserve"> – MARCH 202</w:t>
      </w:r>
      <w:r w:rsidR="005F0ED0">
        <w:rPr>
          <w:b/>
        </w:rPr>
        <w:t>6</w:t>
      </w:r>
    </w:p>
    <w:tbl>
      <w:tblPr>
        <w:tblStyle w:val="TableGrid"/>
        <w:tblW w:w="0" w:type="auto"/>
        <w:tblLook w:val="04A0" w:firstRow="1" w:lastRow="0" w:firstColumn="1" w:lastColumn="0" w:noHBand="0" w:noVBand="1"/>
      </w:tblPr>
      <w:tblGrid>
        <w:gridCol w:w="1555"/>
        <w:gridCol w:w="4110"/>
        <w:gridCol w:w="1276"/>
        <w:gridCol w:w="3827"/>
      </w:tblGrid>
      <w:tr w:rsidR="00557934" w14:paraId="2D181276" w14:textId="77777777" w:rsidTr="00FE358A">
        <w:tc>
          <w:tcPr>
            <w:tcW w:w="1555" w:type="dxa"/>
          </w:tcPr>
          <w:p w14:paraId="31DBB354" w14:textId="77777777" w:rsidR="00557934" w:rsidRPr="00557934" w:rsidRDefault="00557934">
            <w:pPr>
              <w:rPr>
                <w:b/>
                <w:sz w:val="16"/>
                <w:szCs w:val="16"/>
              </w:rPr>
            </w:pPr>
            <w:r>
              <w:rPr>
                <w:b/>
                <w:sz w:val="16"/>
                <w:szCs w:val="16"/>
              </w:rPr>
              <w:t>COMMITTEE KEY</w:t>
            </w:r>
          </w:p>
        </w:tc>
        <w:tc>
          <w:tcPr>
            <w:tcW w:w="4110" w:type="dxa"/>
          </w:tcPr>
          <w:p w14:paraId="547B6958" w14:textId="77777777" w:rsidR="00557934" w:rsidRPr="00557934" w:rsidRDefault="00557934">
            <w:pPr>
              <w:rPr>
                <w:b/>
                <w:sz w:val="16"/>
                <w:szCs w:val="16"/>
              </w:rPr>
            </w:pPr>
          </w:p>
        </w:tc>
        <w:tc>
          <w:tcPr>
            <w:tcW w:w="1276" w:type="dxa"/>
          </w:tcPr>
          <w:p w14:paraId="1D8527EB" w14:textId="77777777" w:rsidR="00557934" w:rsidRPr="00557934" w:rsidRDefault="00557934">
            <w:pPr>
              <w:rPr>
                <w:b/>
                <w:sz w:val="16"/>
                <w:szCs w:val="16"/>
              </w:rPr>
            </w:pPr>
          </w:p>
        </w:tc>
        <w:tc>
          <w:tcPr>
            <w:tcW w:w="3827" w:type="dxa"/>
          </w:tcPr>
          <w:p w14:paraId="185918C6" w14:textId="77777777" w:rsidR="00557934" w:rsidRPr="00557934" w:rsidRDefault="00557934">
            <w:pPr>
              <w:rPr>
                <w:b/>
                <w:sz w:val="16"/>
                <w:szCs w:val="16"/>
              </w:rPr>
            </w:pPr>
          </w:p>
        </w:tc>
      </w:tr>
      <w:tr w:rsidR="00FE358A" w14:paraId="742CC075" w14:textId="77777777" w:rsidTr="00FE358A">
        <w:tc>
          <w:tcPr>
            <w:tcW w:w="1555" w:type="dxa"/>
          </w:tcPr>
          <w:p w14:paraId="0F890AFE" w14:textId="77777777" w:rsidR="00FE358A" w:rsidRPr="00557934" w:rsidRDefault="00FE358A" w:rsidP="00FE358A">
            <w:pPr>
              <w:rPr>
                <w:sz w:val="16"/>
                <w:szCs w:val="16"/>
              </w:rPr>
            </w:pPr>
            <w:r>
              <w:rPr>
                <w:sz w:val="16"/>
                <w:szCs w:val="16"/>
              </w:rPr>
              <w:t>MC</w:t>
            </w:r>
          </w:p>
        </w:tc>
        <w:tc>
          <w:tcPr>
            <w:tcW w:w="4110" w:type="dxa"/>
          </w:tcPr>
          <w:p w14:paraId="177768C0" w14:textId="77777777" w:rsidR="00FE358A" w:rsidRPr="00557934" w:rsidRDefault="00FE358A" w:rsidP="00FE358A">
            <w:pPr>
              <w:rPr>
                <w:sz w:val="16"/>
                <w:szCs w:val="16"/>
              </w:rPr>
            </w:pPr>
            <w:r>
              <w:rPr>
                <w:sz w:val="16"/>
                <w:szCs w:val="16"/>
              </w:rPr>
              <w:t>Moray Council</w:t>
            </w:r>
          </w:p>
        </w:tc>
        <w:tc>
          <w:tcPr>
            <w:tcW w:w="1276" w:type="dxa"/>
          </w:tcPr>
          <w:p w14:paraId="5AFA433F" w14:textId="77777777" w:rsidR="00FE358A" w:rsidRDefault="00FE358A" w:rsidP="00FE358A">
            <w:pPr>
              <w:rPr>
                <w:sz w:val="16"/>
                <w:szCs w:val="16"/>
              </w:rPr>
            </w:pPr>
            <w:r>
              <w:rPr>
                <w:sz w:val="16"/>
                <w:szCs w:val="16"/>
              </w:rPr>
              <w:t>CORP</w:t>
            </w:r>
          </w:p>
        </w:tc>
        <w:tc>
          <w:tcPr>
            <w:tcW w:w="3827" w:type="dxa"/>
          </w:tcPr>
          <w:p w14:paraId="4DF2BC40" w14:textId="77777777" w:rsidR="00FE358A" w:rsidRDefault="00FE358A" w:rsidP="00FE358A">
            <w:pPr>
              <w:rPr>
                <w:sz w:val="16"/>
                <w:szCs w:val="16"/>
              </w:rPr>
            </w:pPr>
            <w:r>
              <w:rPr>
                <w:sz w:val="16"/>
                <w:szCs w:val="16"/>
              </w:rPr>
              <w:t>Corporate</w:t>
            </w:r>
          </w:p>
        </w:tc>
      </w:tr>
      <w:tr w:rsidR="00FE358A" w14:paraId="4DD5440D" w14:textId="77777777" w:rsidTr="00FE358A">
        <w:tc>
          <w:tcPr>
            <w:tcW w:w="1555" w:type="dxa"/>
          </w:tcPr>
          <w:p w14:paraId="73E04734" w14:textId="77777777" w:rsidR="00FE358A" w:rsidRPr="00557934" w:rsidRDefault="00FE358A" w:rsidP="00FE358A">
            <w:pPr>
              <w:rPr>
                <w:sz w:val="16"/>
                <w:szCs w:val="16"/>
              </w:rPr>
            </w:pPr>
            <w:r>
              <w:rPr>
                <w:sz w:val="16"/>
                <w:szCs w:val="16"/>
              </w:rPr>
              <w:t>EGHES</w:t>
            </w:r>
          </w:p>
        </w:tc>
        <w:tc>
          <w:tcPr>
            <w:tcW w:w="4110" w:type="dxa"/>
          </w:tcPr>
          <w:p w14:paraId="7E189C15" w14:textId="77777777" w:rsidR="00FE358A" w:rsidRPr="00557934" w:rsidRDefault="00FE358A" w:rsidP="00FE358A">
            <w:pPr>
              <w:rPr>
                <w:sz w:val="16"/>
                <w:szCs w:val="16"/>
              </w:rPr>
            </w:pPr>
            <w:r>
              <w:rPr>
                <w:sz w:val="16"/>
                <w:szCs w:val="16"/>
              </w:rPr>
              <w:t>Economic Growth, Housing &amp; Environmental Sustainability</w:t>
            </w:r>
          </w:p>
        </w:tc>
        <w:tc>
          <w:tcPr>
            <w:tcW w:w="1276" w:type="dxa"/>
          </w:tcPr>
          <w:p w14:paraId="1128DE1F" w14:textId="77777777" w:rsidR="00FE358A" w:rsidRDefault="00FE358A" w:rsidP="00FE358A">
            <w:pPr>
              <w:rPr>
                <w:sz w:val="16"/>
                <w:szCs w:val="16"/>
              </w:rPr>
            </w:pPr>
            <w:r>
              <w:rPr>
                <w:sz w:val="16"/>
                <w:szCs w:val="16"/>
              </w:rPr>
              <w:t>ED&amp;I</w:t>
            </w:r>
          </w:p>
        </w:tc>
        <w:tc>
          <w:tcPr>
            <w:tcW w:w="3827" w:type="dxa"/>
          </w:tcPr>
          <w:p w14:paraId="67DE14EA" w14:textId="77777777" w:rsidR="00FE358A" w:rsidRDefault="00FE358A" w:rsidP="00FE358A">
            <w:pPr>
              <w:rPr>
                <w:sz w:val="16"/>
                <w:szCs w:val="16"/>
              </w:rPr>
            </w:pPr>
            <w:r>
              <w:rPr>
                <w:sz w:val="16"/>
                <w:szCs w:val="16"/>
              </w:rPr>
              <w:t>Economic Development &amp; Infrastructure</w:t>
            </w:r>
          </w:p>
        </w:tc>
      </w:tr>
      <w:tr w:rsidR="00FE358A" w14:paraId="73AC864A" w14:textId="77777777" w:rsidTr="00FE358A">
        <w:tc>
          <w:tcPr>
            <w:tcW w:w="1555" w:type="dxa"/>
          </w:tcPr>
          <w:p w14:paraId="09A087E9" w14:textId="77777777" w:rsidR="00FE358A" w:rsidRPr="00557934" w:rsidRDefault="00FE358A" w:rsidP="00FE358A">
            <w:pPr>
              <w:rPr>
                <w:sz w:val="16"/>
                <w:szCs w:val="16"/>
              </w:rPr>
            </w:pPr>
            <w:r w:rsidRPr="00557934">
              <w:rPr>
                <w:sz w:val="16"/>
                <w:szCs w:val="16"/>
              </w:rPr>
              <w:t>ECOD</w:t>
            </w:r>
          </w:p>
        </w:tc>
        <w:tc>
          <w:tcPr>
            <w:tcW w:w="4110" w:type="dxa"/>
          </w:tcPr>
          <w:p w14:paraId="6E8A994F" w14:textId="77777777" w:rsidR="00FE358A" w:rsidRPr="00557934" w:rsidRDefault="00FE358A" w:rsidP="00FE358A">
            <w:pPr>
              <w:rPr>
                <w:sz w:val="16"/>
                <w:szCs w:val="16"/>
              </w:rPr>
            </w:pPr>
            <w:r>
              <w:rPr>
                <w:sz w:val="16"/>
                <w:szCs w:val="16"/>
              </w:rPr>
              <w:t>Education, Communities &amp; Organisational Development</w:t>
            </w:r>
          </w:p>
        </w:tc>
        <w:tc>
          <w:tcPr>
            <w:tcW w:w="1276" w:type="dxa"/>
          </w:tcPr>
          <w:p w14:paraId="56285738" w14:textId="77777777" w:rsidR="00FE358A" w:rsidRPr="00557934" w:rsidRDefault="00FE358A" w:rsidP="00FE358A">
            <w:pPr>
              <w:rPr>
                <w:sz w:val="16"/>
                <w:szCs w:val="16"/>
              </w:rPr>
            </w:pPr>
            <w:r>
              <w:rPr>
                <w:sz w:val="16"/>
                <w:szCs w:val="16"/>
              </w:rPr>
              <w:t>ECLS</w:t>
            </w:r>
          </w:p>
        </w:tc>
        <w:tc>
          <w:tcPr>
            <w:tcW w:w="3827" w:type="dxa"/>
          </w:tcPr>
          <w:p w14:paraId="64A6F25B" w14:textId="77777777" w:rsidR="00FE358A" w:rsidRPr="00557934" w:rsidRDefault="00FE358A" w:rsidP="00FE358A">
            <w:pPr>
              <w:rPr>
                <w:sz w:val="16"/>
                <w:szCs w:val="16"/>
              </w:rPr>
            </w:pPr>
            <w:r>
              <w:rPr>
                <w:sz w:val="16"/>
                <w:szCs w:val="16"/>
              </w:rPr>
              <w:t>Education, Children’s &amp; Leisure Services</w:t>
            </w:r>
          </w:p>
        </w:tc>
      </w:tr>
      <w:tr w:rsidR="00FE358A" w14:paraId="6887F1EF" w14:textId="77777777" w:rsidTr="00FE358A">
        <w:tc>
          <w:tcPr>
            <w:tcW w:w="1555" w:type="dxa"/>
          </w:tcPr>
          <w:p w14:paraId="3CA8C10A" w14:textId="77777777" w:rsidR="00FE358A" w:rsidRDefault="00FE358A" w:rsidP="00FE358A">
            <w:pPr>
              <w:rPr>
                <w:sz w:val="16"/>
                <w:szCs w:val="16"/>
              </w:rPr>
            </w:pPr>
            <w:r>
              <w:rPr>
                <w:sz w:val="16"/>
                <w:szCs w:val="16"/>
              </w:rPr>
              <w:t>A&amp;S</w:t>
            </w:r>
          </w:p>
        </w:tc>
        <w:tc>
          <w:tcPr>
            <w:tcW w:w="4110" w:type="dxa"/>
          </w:tcPr>
          <w:p w14:paraId="310275B9" w14:textId="77777777" w:rsidR="00FE358A" w:rsidRDefault="00FE358A" w:rsidP="00FE358A">
            <w:pPr>
              <w:rPr>
                <w:sz w:val="16"/>
                <w:szCs w:val="16"/>
              </w:rPr>
            </w:pPr>
            <w:r>
              <w:rPr>
                <w:sz w:val="16"/>
                <w:szCs w:val="16"/>
              </w:rPr>
              <w:t>Audit &amp; Scrutiny</w:t>
            </w:r>
          </w:p>
        </w:tc>
        <w:tc>
          <w:tcPr>
            <w:tcW w:w="1276" w:type="dxa"/>
          </w:tcPr>
          <w:p w14:paraId="466B12EC" w14:textId="77777777" w:rsidR="00FE358A" w:rsidRPr="00557934" w:rsidRDefault="00FE358A" w:rsidP="00FE358A">
            <w:pPr>
              <w:rPr>
                <w:sz w:val="16"/>
                <w:szCs w:val="16"/>
              </w:rPr>
            </w:pPr>
            <w:r>
              <w:rPr>
                <w:sz w:val="16"/>
                <w:szCs w:val="16"/>
              </w:rPr>
              <w:t>H&amp;CS</w:t>
            </w:r>
          </w:p>
        </w:tc>
        <w:tc>
          <w:tcPr>
            <w:tcW w:w="3827" w:type="dxa"/>
          </w:tcPr>
          <w:p w14:paraId="14C1C3F9" w14:textId="77777777" w:rsidR="00FE358A" w:rsidRPr="00557934" w:rsidRDefault="00FE358A" w:rsidP="00FE358A">
            <w:pPr>
              <w:rPr>
                <w:sz w:val="16"/>
                <w:szCs w:val="16"/>
              </w:rPr>
            </w:pPr>
            <w:r>
              <w:rPr>
                <w:sz w:val="16"/>
                <w:szCs w:val="16"/>
              </w:rPr>
              <w:t>Housing &amp; Community Safety</w:t>
            </w:r>
          </w:p>
        </w:tc>
      </w:tr>
      <w:tr w:rsidR="00FE358A" w14:paraId="3800446A" w14:textId="77777777" w:rsidTr="00FE358A">
        <w:tc>
          <w:tcPr>
            <w:tcW w:w="1555" w:type="dxa"/>
          </w:tcPr>
          <w:p w14:paraId="42594CCB" w14:textId="77777777" w:rsidR="00FE358A" w:rsidRDefault="00FE358A" w:rsidP="00FE358A">
            <w:pPr>
              <w:rPr>
                <w:sz w:val="16"/>
                <w:szCs w:val="16"/>
              </w:rPr>
            </w:pPr>
          </w:p>
        </w:tc>
        <w:tc>
          <w:tcPr>
            <w:tcW w:w="4110" w:type="dxa"/>
          </w:tcPr>
          <w:p w14:paraId="76E3E1F5" w14:textId="77777777" w:rsidR="00FE358A" w:rsidRDefault="00FE358A" w:rsidP="00FE358A">
            <w:pPr>
              <w:rPr>
                <w:sz w:val="16"/>
                <w:szCs w:val="16"/>
              </w:rPr>
            </w:pPr>
          </w:p>
        </w:tc>
        <w:tc>
          <w:tcPr>
            <w:tcW w:w="1276" w:type="dxa"/>
          </w:tcPr>
          <w:p w14:paraId="1F606885" w14:textId="77777777" w:rsidR="00FE358A" w:rsidRDefault="00FE358A" w:rsidP="00FE358A">
            <w:pPr>
              <w:rPr>
                <w:sz w:val="16"/>
                <w:szCs w:val="16"/>
              </w:rPr>
            </w:pPr>
            <w:r>
              <w:rPr>
                <w:sz w:val="16"/>
                <w:szCs w:val="16"/>
              </w:rPr>
              <w:t>P&amp;R</w:t>
            </w:r>
          </w:p>
        </w:tc>
        <w:tc>
          <w:tcPr>
            <w:tcW w:w="3827" w:type="dxa"/>
          </w:tcPr>
          <w:p w14:paraId="50967B2D" w14:textId="77777777" w:rsidR="00FE358A" w:rsidRDefault="00FE358A" w:rsidP="00FE358A">
            <w:pPr>
              <w:rPr>
                <w:sz w:val="16"/>
                <w:szCs w:val="16"/>
              </w:rPr>
            </w:pPr>
            <w:r>
              <w:rPr>
                <w:sz w:val="16"/>
                <w:szCs w:val="16"/>
              </w:rPr>
              <w:t>Planning &amp; Regulatory</w:t>
            </w:r>
          </w:p>
        </w:tc>
      </w:tr>
    </w:tbl>
    <w:p w14:paraId="7D4D72E4" w14:textId="77777777" w:rsidR="00557934" w:rsidRDefault="00557934" w:rsidP="00666C6E">
      <w:pPr>
        <w:spacing w:after="0" w:line="240" w:lineRule="auto"/>
        <w:rPr>
          <w:b/>
        </w:rPr>
      </w:pPr>
    </w:p>
    <w:tbl>
      <w:tblPr>
        <w:tblStyle w:val="TableGrid"/>
        <w:tblW w:w="5000" w:type="pct"/>
        <w:tblLook w:val="04A0" w:firstRow="1" w:lastRow="0" w:firstColumn="1" w:lastColumn="0" w:noHBand="0" w:noVBand="1"/>
      </w:tblPr>
      <w:tblGrid>
        <w:gridCol w:w="1132"/>
        <w:gridCol w:w="1135"/>
        <w:gridCol w:w="870"/>
        <w:gridCol w:w="4511"/>
        <w:gridCol w:w="7509"/>
      </w:tblGrid>
      <w:tr w:rsidR="00D325E3" w14:paraId="5AD13CFB" w14:textId="77777777" w:rsidTr="00D325E3">
        <w:tc>
          <w:tcPr>
            <w:tcW w:w="373" w:type="pct"/>
          </w:tcPr>
          <w:p w14:paraId="1F3D939C" w14:textId="77777777" w:rsidR="00D325E3" w:rsidRPr="00557934" w:rsidRDefault="00D325E3">
            <w:pPr>
              <w:rPr>
                <w:b/>
                <w:sz w:val="16"/>
                <w:szCs w:val="16"/>
              </w:rPr>
            </w:pPr>
            <w:r w:rsidRPr="00557934">
              <w:rPr>
                <w:b/>
                <w:sz w:val="16"/>
                <w:szCs w:val="16"/>
              </w:rPr>
              <w:t xml:space="preserve">COMMITTEE </w:t>
            </w:r>
          </w:p>
        </w:tc>
        <w:tc>
          <w:tcPr>
            <w:tcW w:w="374" w:type="pct"/>
          </w:tcPr>
          <w:p w14:paraId="1854880A" w14:textId="77777777" w:rsidR="00D325E3" w:rsidRPr="00557934" w:rsidRDefault="00D325E3">
            <w:pPr>
              <w:rPr>
                <w:b/>
                <w:sz w:val="16"/>
                <w:szCs w:val="16"/>
              </w:rPr>
            </w:pPr>
            <w:r w:rsidRPr="00557934">
              <w:rPr>
                <w:b/>
                <w:sz w:val="16"/>
                <w:szCs w:val="16"/>
              </w:rPr>
              <w:t>COMMITTEE DATE</w:t>
            </w:r>
          </w:p>
        </w:tc>
        <w:tc>
          <w:tcPr>
            <w:tcW w:w="287" w:type="pct"/>
          </w:tcPr>
          <w:p w14:paraId="7DF39C3B" w14:textId="77777777" w:rsidR="00D325E3" w:rsidRPr="00557934" w:rsidRDefault="00D325E3">
            <w:pPr>
              <w:rPr>
                <w:b/>
                <w:sz w:val="16"/>
                <w:szCs w:val="16"/>
              </w:rPr>
            </w:pPr>
            <w:r w:rsidRPr="00557934">
              <w:rPr>
                <w:b/>
                <w:sz w:val="16"/>
                <w:szCs w:val="16"/>
              </w:rPr>
              <w:t xml:space="preserve">INFO </w:t>
            </w:r>
          </w:p>
          <w:p w14:paraId="05BD70E8" w14:textId="77777777" w:rsidR="00D325E3" w:rsidRPr="00557934" w:rsidRDefault="00D325E3">
            <w:pPr>
              <w:rPr>
                <w:b/>
                <w:sz w:val="16"/>
                <w:szCs w:val="16"/>
              </w:rPr>
            </w:pPr>
            <w:r w:rsidRPr="00557934">
              <w:rPr>
                <w:b/>
                <w:sz w:val="16"/>
                <w:szCs w:val="16"/>
              </w:rPr>
              <w:t>REPORT</w:t>
            </w:r>
          </w:p>
        </w:tc>
        <w:tc>
          <w:tcPr>
            <w:tcW w:w="1488" w:type="pct"/>
          </w:tcPr>
          <w:p w14:paraId="4FA1364B" w14:textId="77777777" w:rsidR="00D325E3" w:rsidRPr="00557934" w:rsidRDefault="00D325E3">
            <w:pPr>
              <w:rPr>
                <w:b/>
                <w:sz w:val="16"/>
                <w:szCs w:val="16"/>
              </w:rPr>
            </w:pPr>
            <w:r w:rsidRPr="00557934">
              <w:rPr>
                <w:b/>
                <w:sz w:val="16"/>
                <w:szCs w:val="16"/>
              </w:rPr>
              <w:t>REPORT TITLE</w:t>
            </w:r>
          </w:p>
        </w:tc>
        <w:tc>
          <w:tcPr>
            <w:tcW w:w="2477" w:type="pct"/>
          </w:tcPr>
          <w:p w14:paraId="76ACB60E" w14:textId="77777777" w:rsidR="00D325E3" w:rsidRPr="00557934" w:rsidRDefault="00D325E3">
            <w:pPr>
              <w:rPr>
                <w:b/>
                <w:sz w:val="16"/>
                <w:szCs w:val="16"/>
              </w:rPr>
            </w:pPr>
            <w:r w:rsidRPr="00557934">
              <w:rPr>
                <w:b/>
                <w:sz w:val="16"/>
                <w:szCs w:val="16"/>
              </w:rPr>
              <w:t>SUMMARY OF IMPLICATIONS – SECTION G</w:t>
            </w:r>
          </w:p>
        </w:tc>
      </w:tr>
      <w:tr w:rsidR="00DC7845" w14:paraId="59B4FC21" w14:textId="77777777" w:rsidTr="00D325E3">
        <w:tc>
          <w:tcPr>
            <w:tcW w:w="373" w:type="pct"/>
          </w:tcPr>
          <w:p w14:paraId="72EDFCFD" w14:textId="2FF0E8AE" w:rsidR="00DC7845" w:rsidRPr="00224BDD" w:rsidRDefault="00DC7845">
            <w:pPr>
              <w:rPr>
                <w:bCs/>
                <w:sz w:val="16"/>
                <w:szCs w:val="16"/>
              </w:rPr>
            </w:pPr>
            <w:r>
              <w:rPr>
                <w:bCs/>
                <w:sz w:val="16"/>
                <w:szCs w:val="16"/>
              </w:rPr>
              <w:t>ED&amp;I</w:t>
            </w:r>
          </w:p>
        </w:tc>
        <w:tc>
          <w:tcPr>
            <w:tcW w:w="374" w:type="pct"/>
          </w:tcPr>
          <w:p w14:paraId="2F0F6C13" w14:textId="76C1086C" w:rsidR="00DC7845" w:rsidRPr="00224BDD" w:rsidRDefault="00DC7845">
            <w:pPr>
              <w:rPr>
                <w:bCs/>
                <w:sz w:val="16"/>
                <w:szCs w:val="16"/>
              </w:rPr>
            </w:pPr>
            <w:r>
              <w:rPr>
                <w:bCs/>
                <w:sz w:val="16"/>
                <w:szCs w:val="16"/>
              </w:rPr>
              <w:t>29.4.25</w:t>
            </w:r>
          </w:p>
        </w:tc>
        <w:tc>
          <w:tcPr>
            <w:tcW w:w="287" w:type="pct"/>
          </w:tcPr>
          <w:p w14:paraId="7DB1D99C" w14:textId="7E8E3F05" w:rsidR="00DC7845" w:rsidRPr="00224BDD" w:rsidRDefault="00DC7845">
            <w:pPr>
              <w:rPr>
                <w:bCs/>
                <w:sz w:val="16"/>
                <w:szCs w:val="16"/>
              </w:rPr>
            </w:pPr>
            <w:r>
              <w:rPr>
                <w:bCs/>
                <w:sz w:val="16"/>
                <w:szCs w:val="16"/>
              </w:rPr>
              <w:t>NO</w:t>
            </w:r>
          </w:p>
        </w:tc>
        <w:tc>
          <w:tcPr>
            <w:tcW w:w="1488" w:type="pct"/>
          </w:tcPr>
          <w:p w14:paraId="2AF6252B" w14:textId="63B9747F" w:rsidR="00DC7845" w:rsidRDefault="00DC7845">
            <w:pPr>
              <w:rPr>
                <w:bCs/>
                <w:sz w:val="16"/>
                <w:szCs w:val="16"/>
              </w:rPr>
            </w:pPr>
            <w:hyperlink r:id="rId14" w:history="1">
              <w:r w:rsidRPr="00DC7845">
                <w:rPr>
                  <w:rStyle w:val="Hyperlink"/>
                  <w:bCs/>
                  <w:sz w:val="16"/>
                  <w:szCs w:val="16"/>
                </w:rPr>
                <w:t>Disabled Parking Review</w:t>
              </w:r>
            </w:hyperlink>
          </w:p>
        </w:tc>
        <w:tc>
          <w:tcPr>
            <w:tcW w:w="2477" w:type="pct"/>
          </w:tcPr>
          <w:p w14:paraId="51A249A3" w14:textId="77777777" w:rsidR="00DC7845" w:rsidRDefault="00DC7845">
            <w:pPr>
              <w:rPr>
                <w:sz w:val="16"/>
                <w:szCs w:val="16"/>
              </w:rPr>
            </w:pPr>
            <w:r w:rsidRPr="00DC7845">
              <w:rPr>
                <w:sz w:val="16"/>
                <w:szCs w:val="16"/>
              </w:rPr>
              <w:t>An Integrated Impact Assessment has been completed in Appendix 6. The proposals make improvements to the parking provision in Elgin for people with disabilities taking account of the various needs within the community and the feedback from previous consultation. Although impacts have been identified they can be mitigated and justified.</w:t>
            </w:r>
          </w:p>
          <w:p w14:paraId="3FFCA0E3" w14:textId="025B8BE3" w:rsidR="00DC7845" w:rsidRPr="00DC7845" w:rsidRDefault="00DC7845">
            <w:pPr>
              <w:rPr>
                <w:sz w:val="16"/>
                <w:szCs w:val="16"/>
              </w:rPr>
            </w:pPr>
          </w:p>
        </w:tc>
      </w:tr>
      <w:tr w:rsidR="007D666B" w14:paraId="0B4429F2" w14:textId="77777777" w:rsidTr="00D325E3">
        <w:tc>
          <w:tcPr>
            <w:tcW w:w="373" w:type="pct"/>
          </w:tcPr>
          <w:p w14:paraId="2C0E2B3D" w14:textId="0BA3327F" w:rsidR="007D666B" w:rsidRPr="00224BDD" w:rsidRDefault="007D666B">
            <w:pPr>
              <w:rPr>
                <w:bCs/>
                <w:sz w:val="16"/>
                <w:szCs w:val="16"/>
              </w:rPr>
            </w:pPr>
            <w:r>
              <w:rPr>
                <w:bCs/>
                <w:sz w:val="16"/>
                <w:szCs w:val="16"/>
              </w:rPr>
              <w:t>ED&amp;I</w:t>
            </w:r>
          </w:p>
        </w:tc>
        <w:tc>
          <w:tcPr>
            <w:tcW w:w="374" w:type="pct"/>
          </w:tcPr>
          <w:p w14:paraId="369D93B5" w14:textId="1133C980" w:rsidR="007D666B" w:rsidRPr="00224BDD" w:rsidRDefault="007D666B">
            <w:pPr>
              <w:rPr>
                <w:bCs/>
                <w:sz w:val="16"/>
                <w:szCs w:val="16"/>
              </w:rPr>
            </w:pPr>
            <w:r>
              <w:rPr>
                <w:bCs/>
                <w:sz w:val="16"/>
                <w:szCs w:val="16"/>
              </w:rPr>
              <w:t>29.4.25</w:t>
            </w:r>
          </w:p>
        </w:tc>
        <w:tc>
          <w:tcPr>
            <w:tcW w:w="287" w:type="pct"/>
          </w:tcPr>
          <w:p w14:paraId="56386AB5" w14:textId="68629226" w:rsidR="007D666B" w:rsidRPr="00224BDD" w:rsidRDefault="007D666B">
            <w:pPr>
              <w:rPr>
                <w:bCs/>
                <w:sz w:val="16"/>
                <w:szCs w:val="16"/>
              </w:rPr>
            </w:pPr>
            <w:r>
              <w:rPr>
                <w:bCs/>
                <w:sz w:val="16"/>
                <w:szCs w:val="16"/>
              </w:rPr>
              <w:t>NO</w:t>
            </w:r>
          </w:p>
        </w:tc>
        <w:tc>
          <w:tcPr>
            <w:tcW w:w="1488" w:type="pct"/>
          </w:tcPr>
          <w:p w14:paraId="4482B188" w14:textId="6B3AD583" w:rsidR="007D666B" w:rsidRDefault="007D666B">
            <w:pPr>
              <w:rPr>
                <w:bCs/>
                <w:sz w:val="16"/>
                <w:szCs w:val="16"/>
              </w:rPr>
            </w:pPr>
            <w:hyperlink r:id="rId15" w:history="1">
              <w:r w:rsidRPr="007D666B">
                <w:rPr>
                  <w:rStyle w:val="Hyperlink"/>
                  <w:bCs/>
                  <w:sz w:val="16"/>
                  <w:szCs w:val="16"/>
                </w:rPr>
                <w:t>North of Scotland Electric Vehicle Charging Infrastructure Partnership</w:t>
              </w:r>
            </w:hyperlink>
          </w:p>
          <w:p w14:paraId="4D62876E" w14:textId="44DDD989" w:rsidR="007D666B" w:rsidRDefault="007D666B">
            <w:pPr>
              <w:rPr>
                <w:bCs/>
                <w:sz w:val="16"/>
                <w:szCs w:val="16"/>
              </w:rPr>
            </w:pPr>
          </w:p>
        </w:tc>
        <w:tc>
          <w:tcPr>
            <w:tcW w:w="2477" w:type="pct"/>
          </w:tcPr>
          <w:p w14:paraId="57F27375" w14:textId="151F23D7" w:rsidR="007D666B" w:rsidRPr="007D666B" w:rsidRDefault="007D666B">
            <w:pPr>
              <w:rPr>
                <w:sz w:val="16"/>
                <w:szCs w:val="16"/>
              </w:rPr>
            </w:pPr>
            <w:r w:rsidRPr="007D666B">
              <w:rPr>
                <w:sz w:val="16"/>
                <w:szCs w:val="16"/>
              </w:rPr>
              <w:t>An Integrated Impact Assessment has been carried out (Appendix 2), the overall impacts are positive, and any negative impacts can be mitigated.</w:t>
            </w:r>
          </w:p>
        </w:tc>
      </w:tr>
      <w:tr w:rsidR="00F24933" w14:paraId="70A0937F" w14:textId="77777777" w:rsidTr="00D325E3">
        <w:tc>
          <w:tcPr>
            <w:tcW w:w="373" w:type="pct"/>
          </w:tcPr>
          <w:p w14:paraId="3D010BC7" w14:textId="784692C5" w:rsidR="00F24933" w:rsidRDefault="00F24933">
            <w:pPr>
              <w:rPr>
                <w:bCs/>
                <w:sz w:val="16"/>
                <w:szCs w:val="16"/>
              </w:rPr>
            </w:pPr>
            <w:r>
              <w:rPr>
                <w:bCs/>
                <w:sz w:val="16"/>
                <w:szCs w:val="16"/>
              </w:rPr>
              <w:t>ECLS</w:t>
            </w:r>
          </w:p>
        </w:tc>
        <w:tc>
          <w:tcPr>
            <w:tcW w:w="374" w:type="pct"/>
          </w:tcPr>
          <w:p w14:paraId="6C2DB10D" w14:textId="4890B802" w:rsidR="00F24933" w:rsidRDefault="00F24933">
            <w:pPr>
              <w:rPr>
                <w:bCs/>
                <w:sz w:val="16"/>
                <w:szCs w:val="16"/>
              </w:rPr>
            </w:pPr>
            <w:r>
              <w:rPr>
                <w:bCs/>
                <w:sz w:val="16"/>
                <w:szCs w:val="16"/>
              </w:rPr>
              <w:t>13.5.25</w:t>
            </w:r>
          </w:p>
        </w:tc>
        <w:tc>
          <w:tcPr>
            <w:tcW w:w="287" w:type="pct"/>
          </w:tcPr>
          <w:p w14:paraId="2FEE1ECF" w14:textId="4F930599" w:rsidR="00F24933" w:rsidRDefault="00F24933">
            <w:pPr>
              <w:rPr>
                <w:bCs/>
                <w:sz w:val="16"/>
                <w:szCs w:val="16"/>
              </w:rPr>
            </w:pPr>
            <w:r>
              <w:rPr>
                <w:bCs/>
                <w:sz w:val="16"/>
                <w:szCs w:val="16"/>
              </w:rPr>
              <w:t>NO</w:t>
            </w:r>
          </w:p>
        </w:tc>
        <w:tc>
          <w:tcPr>
            <w:tcW w:w="1488" w:type="pct"/>
          </w:tcPr>
          <w:p w14:paraId="5D20B201" w14:textId="70D02582" w:rsidR="00F24933" w:rsidRPr="00F24933" w:rsidRDefault="00F24933">
            <w:pPr>
              <w:rPr>
                <w:sz w:val="16"/>
                <w:szCs w:val="16"/>
              </w:rPr>
            </w:pPr>
            <w:hyperlink r:id="rId16" w:history="1">
              <w:r w:rsidRPr="00F24933">
                <w:rPr>
                  <w:rStyle w:val="Hyperlink"/>
                  <w:sz w:val="16"/>
                  <w:szCs w:val="16"/>
                </w:rPr>
                <w:t>Closure of Crossroads Primary School – Statutory Consultation</w:t>
              </w:r>
            </w:hyperlink>
          </w:p>
        </w:tc>
        <w:tc>
          <w:tcPr>
            <w:tcW w:w="2477" w:type="pct"/>
          </w:tcPr>
          <w:p w14:paraId="240DF6F1" w14:textId="77777777" w:rsidR="00F24933" w:rsidRDefault="00F24933">
            <w:pPr>
              <w:rPr>
                <w:sz w:val="16"/>
                <w:szCs w:val="16"/>
              </w:rPr>
            </w:pPr>
            <w:r w:rsidRPr="00F24933">
              <w:rPr>
                <w:sz w:val="16"/>
                <w:szCs w:val="16"/>
              </w:rPr>
              <w:t xml:space="preserve">An Integrated Impact Assessment (IIA) is a statutory requirement on the Council to assess the policies and practices necessary to meet the requirements of anti-discrimination and equalities legislation. It also affords an opportunity for the Council to consider the impact on the education service. An assessment has been carried out and is at Appendix 2. </w:t>
            </w:r>
          </w:p>
          <w:p w14:paraId="63D9A067" w14:textId="77777777" w:rsidR="00F24933" w:rsidRDefault="00F24933">
            <w:pPr>
              <w:rPr>
                <w:sz w:val="16"/>
                <w:szCs w:val="16"/>
              </w:rPr>
            </w:pPr>
          </w:p>
          <w:p w14:paraId="18545919" w14:textId="77777777" w:rsidR="00F24933" w:rsidRDefault="00F24933">
            <w:pPr>
              <w:rPr>
                <w:sz w:val="16"/>
                <w:szCs w:val="16"/>
              </w:rPr>
            </w:pPr>
            <w:r w:rsidRPr="00F24933">
              <w:rPr>
                <w:sz w:val="16"/>
                <w:szCs w:val="16"/>
              </w:rPr>
              <w:t xml:space="preserve">The main impact for children in the P1-7 age group is the length of journey from Crossroads to either Keith or Rothiemay primary schools; however, as Crossroads Primary School has been mothballed since January 2023, the Crossroads catchment pupils who are temporarily rezoned to Rothiemay Primary School are already making the journey to the school on Council-provided transport. Those Crossroads catchment children who have ‘out-of catchment’ placing requests at Keith Primary School also already travel to school using private transport and the positive change for those in the proposed new Keith catchment would now be entitled to Council-provided transport. </w:t>
            </w:r>
          </w:p>
          <w:p w14:paraId="2BFB9C53" w14:textId="77777777" w:rsidR="00F24933" w:rsidRDefault="00F24933">
            <w:pPr>
              <w:rPr>
                <w:sz w:val="16"/>
                <w:szCs w:val="16"/>
              </w:rPr>
            </w:pPr>
          </w:p>
          <w:p w14:paraId="604001FB" w14:textId="77777777" w:rsidR="00F24933" w:rsidRDefault="00F24933">
            <w:pPr>
              <w:rPr>
                <w:sz w:val="16"/>
                <w:szCs w:val="16"/>
              </w:rPr>
            </w:pPr>
            <w:r w:rsidRPr="00F24933">
              <w:rPr>
                <w:sz w:val="16"/>
                <w:szCs w:val="16"/>
              </w:rPr>
              <w:t>Under the Equality Act 2010 education providers must not treat disabled pupils less favourably and should take reasonable steps to avoid putting disabled pupils at a substantial disadvantage. Any existing arrangements in place for pupils with additional support needs within the schools affected will continue. As discussed in Appendix 1 Section 4.26, Keith Primary School is the enhanced provision base for the Keith Associated School Group, and as such is fully adapted to meet the requirements of pupils with a range of additional support needs.</w:t>
            </w:r>
          </w:p>
          <w:p w14:paraId="4A59C327" w14:textId="76EAE261" w:rsidR="00F24933" w:rsidRPr="00F24933" w:rsidRDefault="00F24933">
            <w:pPr>
              <w:rPr>
                <w:sz w:val="16"/>
                <w:szCs w:val="16"/>
              </w:rPr>
            </w:pPr>
          </w:p>
        </w:tc>
      </w:tr>
      <w:tr w:rsidR="00F24933" w14:paraId="396CD480" w14:textId="77777777" w:rsidTr="00D325E3">
        <w:tc>
          <w:tcPr>
            <w:tcW w:w="373" w:type="pct"/>
          </w:tcPr>
          <w:p w14:paraId="21351235" w14:textId="49397621" w:rsidR="00F24933" w:rsidRDefault="00F24933">
            <w:pPr>
              <w:rPr>
                <w:bCs/>
                <w:sz w:val="16"/>
                <w:szCs w:val="16"/>
              </w:rPr>
            </w:pPr>
            <w:r>
              <w:rPr>
                <w:bCs/>
                <w:sz w:val="16"/>
                <w:szCs w:val="16"/>
              </w:rPr>
              <w:t>ECLS</w:t>
            </w:r>
          </w:p>
        </w:tc>
        <w:tc>
          <w:tcPr>
            <w:tcW w:w="374" w:type="pct"/>
          </w:tcPr>
          <w:p w14:paraId="0C084DD4" w14:textId="7FAF58B2" w:rsidR="00F24933" w:rsidRDefault="00F24933">
            <w:pPr>
              <w:rPr>
                <w:bCs/>
                <w:sz w:val="16"/>
                <w:szCs w:val="16"/>
              </w:rPr>
            </w:pPr>
            <w:r>
              <w:rPr>
                <w:bCs/>
                <w:sz w:val="16"/>
                <w:szCs w:val="16"/>
              </w:rPr>
              <w:t>13.5.25</w:t>
            </w:r>
          </w:p>
        </w:tc>
        <w:tc>
          <w:tcPr>
            <w:tcW w:w="287" w:type="pct"/>
          </w:tcPr>
          <w:p w14:paraId="359E77F0" w14:textId="35B2EDC7" w:rsidR="00F24933" w:rsidRDefault="00F24933">
            <w:pPr>
              <w:rPr>
                <w:bCs/>
                <w:sz w:val="16"/>
                <w:szCs w:val="16"/>
              </w:rPr>
            </w:pPr>
            <w:r>
              <w:rPr>
                <w:bCs/>
                <w:sz w:val="16"/>
                <w:szCs w:val="16"/>
              </w:rPr>
              <w:t>NO</w:t>
            </w:r>
          </w:p>
        </w:tc>
        <w:tc>
          <w:tcPr>
            <w:tcW w:w="1488" w:type="pct"/>
          </w:tcPr>
          <w:p w14:paraId="7D7281B1" w14:textId="7F8B83F9" w:rsidR="00F24933" w:rsidRDefault="00F24933">
            <w:pPr>
              <w:rPr>
                <w:sz w:val="16"/>
                <w:szCs w:val="16"/>
              </w:rPr>
            </w:pPr>
            <w:hyperlink r:id="rId17" w:history="1">
              <w:r w:rsidRPr="00F24933">
                <w:rPr>
                  <w:rStyle w:val="Hyperlink"/>
                  <w:sz w:val="16"/>
                  <w:szCs w:val="16"/>
                </w:rPr>
                <w:t>Mobile Phone Usage in Schools</w:t>
              </w:r>
            </w:hyperlink>
          </w:p>
          <w:p w14:paraId="1B6BF553" w14:textId="66E70B46" w:rsidR="00F24933" w:rsidRDefault="00F24933">
            <w:pPr>
              <w:rPr>
                <w:sz w:val="16"/>
                <w:szCs w:val="16"/>
              </w:rPr>
            </w:pPr>
          </w:p>
        </w:tc>
        <w:tc>
          <w:tcPr>
            <w:tcW w:w="2477" w:type="pct"/>
          </w:tcPr>
          <w:p w14:paraId="7F8AC8DA" w14:textId="77777777" w:rsidR="00F24933" w:rsidRPr="00F24933" w:rsidRDefault="00F24933">
            <w:pPr>
              <w:rPr>
                <w:sz w:val="16"/>
                <w:szCs w:val="16"/>
              </w:rPr>
            </w:pPr>
            <w:r w:rsidRPr="00F24933">
              <w:rPr>
                <w:sz w:val="16"/>
                <w:szCs w:val="16"/>
              </w:rPr>
              <w:t xml:space="preserve">The national guidance aims to reduce harassment or discrimination through the removal of mobile phones and includes five exceptions to mitigate against any negative impacts. The Scottish Government carried out a national assessment on the impact of the Mobile Phone Guidance for Scotland’s Schools. Their Equality Impact Assessment – Record can be viewed online and is based on the five exceptions set out in S.19 of that guidance being applied. </w:t>
            </w:r>
          </w:p>
          <w:p w14:paraId="12B478C7" w14:textId="77777777" w:rsidR="00F24933" w:rsidRPr="00F24933" w:rsidRDefault="00F24933">
            <w:pPr>
              <w:rPr>
                <w:sz w:val="16"/>
                <w:szCs w:val="16"/>
              </w:rPr>
            </w:pPr>
          </w:p>
          <w:p w14:paraId="7EA6D845" w14:textId="77777777" w:rsidR="00F24933" w:rsidRDefault="00F24933">
            <w:pPr>
              <w:rPr>
                <w:sz w:val="16"/>
                <w:szCs w:val="16"/>
              </w:rPr>
            </w:pPr>
            <w:r w:rsidRPr="00F24933">
              <w:rPr>
                <w:sz w:val="16"/>
                <w:szCs w:val="16"/>
              </w:rPr>
              <w:t>Where the national guidance has been implemented already across Scotland, schools see a positive impact on behaviour and relationships and in terms of social interaction between pupils and pupils and staff.</w:t>
            </w:r>
          </w:p>
          <w:p w14:paraId="17AF4167" w14:textId="0A484CBC" w:rsidR="00F24933" w:rsidRPr="00F24933" w:rsidRDefault="00F24933">
            <w:pPr>
              <w:rPr>
                <w:sz w:val="16"/>
                <w:szCs w:val="16"/>
              </w:rPr>
            </w:pPr>
          </w:p>
        </w:tc>
      </w:tr>
      <w:tr w:rsidR="00F24933" w14:paraId="3DF72458" w14:textId="77777777" w:rsidTr="00D325E3">
        <w:tc>
          <w:tcPr>
            <w:tcW w:w="373" w:type="pct"/>
          </w:tcPr>
          <w:p w14:paraId="4BDD116B" w14:textId="5F836DEF" w:rsidR="00F24933" w:rsidRDefault="00F24933">
            <w:pPr>
              <w:rPr>
                <w:bCs/>
                <w:sz w:val="16"/>
                <w:szCs w:val="16"/>
              </w:rPr>
            </w:pPr>
            <w:r>
              <w:rPr>
                <w:bCs/>
                <w:sz w:val="16"/>
                <w:szCs w:val="16"/>
              </w:rPr>
              <w:t>ECLS</w:t>
            </w:r>
          </w:p>
        </w:tc>
        <w:tc>
          <w:tcPr>
            <w:tcW w:w="374" w:type="pct"/>
          </w:tcPr>
          <w:p w14:paraId="7AF218B3" w14:textId="73BC8375" w:rsidR="00F24933" w:rsidRDefault="00F24933">
            <w:pPr>
              <w:rPr>
                <w:bCs/>
                <w:sz w:val="16"/>
                <w:szCs w:val="16"/>
              </w:rPr>
            </w:pPr>
            <w:r>
              <w:rPr>
                <w:bCs/>
                <w:sz w:val="16"/>
                <w:szCs w:val="16"/>
              </w:rPr>
              <w:t>13.5.25</w:t>
            </w:r>
          </w:p>
        </w:tc>
        <w:tc>
          <w:tcPr>
            <w:tcW w:w="287" w:type="pct"/>
          </w:tcPr>
          <w:p w14:paraId="34AA7B45" w14:textId="206209B2" w:rsidR="00F24933" w:rsidRDefault="00F24933">
            <w:pPr>
              <w:rPr>
                <w:bCs/>
                <w:sz w:val="16"/>
                <w:szCs w:val="16"/>
              </w:rPr>
            </w:pPr>
            <w:r>
              <w:rPr>
                <w:bCs/>
                <w:sz w:val="16"/>
                <w:szCs w:val="16"/>
              </w:rPr>
              <w:t>NO</w:t>
            </w:r>
          </w:p>
        </w:tc>
        <w:tc>
          <w:tcPr>
            <w:tcW w:w="1488" w:type="pct"/>
          </w:tcPr>
          <w:p w14:paraId="5C91006B" w14:textId="7F922369" w:rsidR="00F24933" w:rsidRDefault="00F24933">
            <w:pPr>
              <w:rPr>
                <w:sz w:val="16"/>
                <w:szCs w:val="16"/>
              </w:rPr>
            </w:pPr>
            <w:hyperlink r:id="rId18" w:history="1">
              <w:r w:rsidRPr="00F24933">
                <w:rPr>
                  <w:rStyle w:val="Hyperlink"/>
                  <w:sz w:val="16"/>
                  <w:szCs w:val="16"/>
                </w:rPr>
                <w:t>Our Moray Literacy Strategy</w:t>
              </w:r>
            </w:hyperlink>
          </w:p>
          <w:p w14:paraId="0B47E3CE" w14:textId="7F89F4C7" w:rsidR="00F24933" w:rsidRDefault="00F24933">
            <w:pPr>
              <w:rPr>
                <w:sz w:val="16"/>
                <w:szCs w:val="16"/>
              </w:rPr>
            </w:pPr>
          </w:p>
        </w:tc>
        <w:tc>
          <w:tcPr>
            <w:tcW w:w="2477" w:type="pct"/>
          </w:tcPr>
          <w:p w14:paraId="5FFB123A" w14:textId="10BE4DF5" w:rsidR="00F24933" w:rsidRPr="00F24933" w:rsidRDefault="00F24933" w:rsidP="00B16363">
            <w:pPr>
              <w:rPr>
                <w:sz w:val="16"/>
                <w:szCs w:val="16"/>
              </w:rPr>
            </w:pPr>
            <w:r w:rsidRPr="00F24933">
              <w:rPr>
                <w:sz w:val="16"/>
                <w:szCs w:val="16"/>
              </w:rPr>
              <w:t>Our Moray Literacy Strategy has been developed in order to reduce inequality in literacy and improve social inclusion through increased literacy skills, access to and attainment in literacy. This report aligns with the Strategic Priorities for Education and the National Improvement Framework(NIF) which is aimed at reducing inequalities. An Integrated Impact Assessment has been undertaken. Please see Appendix 2.</w:t>
            </w:r>
          </w:p>
        </w:tc>
      </w:tr>
      <w:tr w:rsidR="007D666B" w14:paraId="2671CDC8" w14:textId="77777777" w:rsidTr="00D325E3">
        <w:tc>
          <w:tcPr>
            <w:tcW w:w="373" w:type="pct"/>
          </w:tcPr>
          <w:p w14:paraId="5B62D60F" w14:textId="66D4F30D" w:rsidR="007D666B" w:rsidRPr="00224BDD" w:rsidRDefault="007D666B">
            <w:pPr>
              <w:rPr>
                <w:bCs/>
                <w:sz w:val="16"/>
                <w:szCs w:val="16"/>
              </w:rPr>
            </w:pPr>
            <w:r>
              <w:rPr>
                <w:bCs/>
                <w:sz w:val="16"/>
                <w:szCs w:val="16"/>
              </w:rPr>
              <w:lastRenderedPageBreak/>
              <w:t>ED&amp;I</w:t>
            </w:r>
          </w:p>
        </w:tc>
        <w:tc>
          <w:tcPr>
            <w:tcW w:w="374" w:type="pct"/>
          </w:tcPr>
          <w:p w14:paraId="79BAF1A9" w14:textId="7C01425B" w:rsidR="007D666B" w:rsidRPr="00224BDD" w:rsidRDefault="007D666B">
            <w:pPr>
              <w:rPr>
                <w:bCs/>
                <w:sz w:val="16"/>
                <w:szCs w:val="16"/>
              </w:rPr>
            </w:pPr>
            <w:r>
              <w:rPr>
                <w:bCs/>
                <w:sz w:val="16"/>
                <w:szCs w:val="16"/>
              </w:rPr>
              <w:t>17.6.25</w:t>
            </w:r>
          </w:p>
        </w:tc>
        <w:tc>
          <w:tcPr>
            <w:tcW w:w="287" w:type="pct"/>
          </w:tcPr>
          <w:p w14:paraId="13D5D609" w14:textId="7080570D" w:rsidR="007D666B" w:rsidRPr="00224BDD" w:rsidRDefault="007D666B">
            <w:pPr>
              <w:rPr>
                <w:bCs/>
                <w:sz w:val="16"/>
                <w:szCs w:val="16"/>
              </w:rPr>
            </w:pPr>
            <w:r>
              <w:rPr>
                <w:bCs/>
                <w:sz w:val="16"/>
                <w:szCs w:val="16"/>
              </w:rPr>
              <w:t>NO</w:t>
            </w:r>
          </w:p>
        </w:tc>
        <w:tc>
          <w:tcPr>
            <w:tcW w:w="1488" w:type="pct"/>
          </w:tcPr>
          <w:p w14:paraId="78848046" w14:textId="6724311A" w:rsidR="007D666B" w:rsidRDefault="007D666B">
            <w:pPr>
              <w:rPr>
                <w:sz w:val="16"/>
                <w:szCs w:val="16"/>
              </w:rPr>
            </w:pPr>
            <w:hyperlink r:id="rId19" w:history="1">
              <w:r w:rsidRPr="007D666B">
                <w:rPr>
                  <w:rStyle w:val="Hyperlink"/>
                  <w:sz w:val="16"/>
                  <w:szCs w:val="16"/>
                </w:rPr>
                <w:t>Traffic Regulation Orders and Waiting Restrictions Orders to support Levelling Up Fund project in Elgin Town Centre</w:t>
              </w:r>
            </w:hyperlink>
          </w:p>
          <w:p w14:paraId="0D80D1A4" w14:textId="608C203B" w:rsidR="007D666B" w:rsidRPr="007D666B" w:rsidRDefault="007D666B">
            <w:pPr>
              <w:rPr>
                <w:bCs/>
                <w:sz w:val="16"/>
                <w:szCs w:val="16"/>
              </w:rPr>
            </w:pPr>
          </w:p>
        </w:tc>
        <w:tc>
          <w:tcPr>
            <w:tcW w:w="2477" w:type="pct"/>
          </w:tcPr>
          <w:p w14:paraId="482F0E99" w14:textId="77777777" w:rsidR="007D666B" w:rsidRPr="007D666B" w:rsidRDefault="007D666B">
            <w:pPr>
              <w:rPr>
                <w:sz w:val="16"/>
                <w:szCs w:val="16"/>
              </w:rPr>
            </w:pPr>
            <w:r w:rsidRPr="007D666B">
              <w:rPr>
                <w:sz w:val="16"/>
                <w:szCs w:val="16"/>
              </w:rPr>
              <w:t xml:space="preserve">An Integrated Impact Assessment (IIA) was undertaken to support the recent review of DPPP and is contained in Appendix 5. The proposals make improvements to the parking provision in Elgin for people with disabilities taking account of the various needs within the community and the feedback from previous consultation. Although impacts have been identified they can be mitigated and justified. </w:t>
            </w:r>
          </w:p>
          <w:p w14:paraId="22FCA943" w14:textId="77777777" w:rsidR="007D666B" w:rsidRPr="007D666B" w:rsidRDefault="007D666B">
            <w:pPr>
              <w:rPr>
                <w:sz w:val="16"/>
                <w:szCs w:val="16"/>
              </w:rPr>
            </w:pPr>
          </w:p>
          <w:p w14:paraId="49BB0C3A" w14:textId="77777777" w:rsidR="007D666B" w:rsidRDefault="007D666B">
            <w:pPr>
              <w:rPr>
                <w:sz w:val="16"/>
                <w:szCs w:val="16"/>
              </w:rPr>
            </w:pPr>
            <w:r w:rsidRPr="007D666B">
              <w:rPr>
                <w:sz w:val="16"/>
                <w:szCs w:val="16"/>
              </w:rPr>
              <w:t>This is accompanied by an IIA for the proposed active travel schemes, access control measures and changes to other waiting restrictions (e.g. loading bays) in Appendix 5. The proposed changes will enhance provisions and access for vulnerable road users, including children, older persons, and disabled persons through new and widened footways. Accessibility Audits for the proposed changes will be undertaken as part of the detailed design process</w:t>
            </w:r>
            <w:r>
              <w:rPr>
                <w:sz w:val="16"/>
                <w:szCs w:val="16"/>
              </w:rPr>
              <w:t>.</w:t>
            </w:r>
          </w:p>
          <w:p w14:paraId="21F7472A" w14:textId="680B28A3" w:rsidR="007D666B" w:rsidRPr="007D666B" w:rsidRDefault="007D666B">
            <w:pPr>
              <w:rPr>
                <w:sz w:val="16"/>
                <w:szCs w:val="16"/>
              </w:rPr>
            </w:pPr>
          </w:p>
        </w:tc>
      </w:tr>
      <w:tr w:rsidR="007D666B" w14:paraId="2EEA7E6F" w14:textId="77777777" w:rsidTr="00D325E3">
        <w:tc>
          <w:tcPr>
            <w:tcW w:w="373" w:type="pct"/>
          </w:tcPr>
          <w:p w14:paraId="724F662A" w14:textId="55023237" w:rsidR="007D666B" w:rsidRPr="00224BDD" w:rsidRDefault="007D666B">
            <w:pPr>
              <w:rPr>
                <w:bCs/>
                <w:sz w:val="16"/>
                <w:szCs w:val="16"/>
              </w:rPr>
            </w:pPr>
            <w:r>
              <w:rPr>
                <w:bCs/>
                <w:sz w:val="16"/>
                <w:szCs w:val="16"/>
              </w:rPr>
              <w:t>ED&amp;I</w:t>
            </w:r>
          </w:p>
        </w:tc>
        <w:tc>
          <w:tcPr>
            <w:tcW w:w="374" w:type="pct"/>
          </w:tcPr>
          <w:p w14:paraId="6B0F3CAF" w14:textId="4A66C641" w:rsidR="007D666B" w:rsidRPr="00224BDD" w:rsidRDefault="007D666B">
            <w:pPr>
              <w:rPr>
                <w:bCs/>
                <w:sz w:val="16"/>
                <w:szCs w:val="16"/>
              </w:rPr>
            </w:pPr>
            <w:r>
              <w:rPr>
                <w:bCs/>
                <w:sz w:val="16"/>
                <w:szCs w:val="16"/>
              </w:rPr>
              <w:t>17.6.25</w:t>
            </w:r>
          </w:p>
        </w:tc>
        <w:tc>
          <w:tcPr>
            <w:tcW w:w="287" w:type="pct"/>
          </w:tcPr>
          <w:p w14:paraId="42980746" w14:textId="501E3603" w:rsidR="007D666B" w:rsidRPr="00224BDD" w:rsidRDefault="007D666B">
            <w:pPr>
              <w:rPr>
                <w:bCs/>
                <w:sz w:val="16"/>
                <w:szCs w:val="16"/>
              </w:rPr>
            </w:pPr>
            <w:r>
              <w:rPr>
                <w:bCs/>
                <w:sz w:val="16"/>
                <w:szCs w:val="16"/>
              </w:rPr>
              <w:t>NO</w:t>
            </w:r>
          </w:p>
        </w:tc>
        <w:tc>
          <w:tcPr>
            <w:tcW w:w="1488" w:type="pct"/>
          </w:tcPr>
          <w:p w14:paraId="5D5BF274" w14:textId="04AE6E3B" w:rsidR="007D666B" w:rsidRDefault="007D666B">
            <w:pPr>
              <w:rPr>
                <w:bCs/>
                <w:sz w:val="16"/>
                <w:szCs w:val="16"/>
              </w:rPr>
            </w:pPr>
            <w:hyperlink r:id="rId20" w:history="1">
              <w:r w:rsidRPr="007D666B">
                <w:rPr>
                  <w:rStyle w:val="Hyperlink"/>
                  <w:bCs/>
                  <w:sz w:val="16"/>
                  <w:szCs w:val="16"/>
                </w:rPr>
                <w:t>National Strategy for 20mph</w:t>
              </w:r>
            </w:hyperlink>
          </w:p>
        </w:tc>
        <w:tc>
          <w:tcPr>
            <w:tcW w:w="2477" w:type="pct"/>
          </w:tcPr>
          <w:p w14:paraId="63113160" w14:textId="25A019FA" w:rsidR="007D666B" w:rsidRPr="007D666B" w:rsidRDefault="007D666B">
            <w:pPr>
              <w:rPr>
                <w:sz w:val="16"/>
                <w:szCs w:val="16"/>
              </w:rPr>
            </w:pPr>
            <w:r w:rsidRPr="007D666B">
              <w:rPr>
                <w:sz w:val="16"/>
                <w:szCs w:val="16"/>
              </w:rPr>
              <w:t>IIA is included in Appendix 2.</w:t>
            </w:r>
          </w:p>
          <w:p w14:paraId="2B7126CE" w14:textId="5922EF5B" w:rsidR="007D666B" w:rsidRPr="00224BDD" w:rsidRDefault="007D666B">
            <w:pPr>
              <w:rPr>
                <w:sz w:val="16"/>
                <w:szCs w:val="16"/>
              </w:rPr>
            </w:pPr>
          </w:p>
        </w:tc>
      </w:tr>
      <w:tr w:rsidR="008C3D24" w14:paraId="70DB43B9" w14:textId="77777777" w:rsidTr="00D325E3">
        <w:tc>
          <w:tcPr>
            <w:tcW w:w="373" w:type="pct"/>
          </w:tcPr>
          <w:p w14:paraId="60E6766B" w14:textId="2D7836F7" w:rsidR="008C3D24" w:rsidRPr="00224BDD" w:rsidRDefault="008C3D24">
            <w:pPr>
              <w:rPr>
                <w:bCs/>
                <w:sz w:val="16"/>
                <w:szCs w:val="16"/>
              </w:rPr>
            </w:pPr>
            <w:r>
              <w:rPr>
                <w:bCs/>
                <w:sz w:val="16"/>
                <w:szCs w:val="16"/>
              </w:rPr>
              <w:t>ED&amp;I</w:t>
            </w:r>
          </w:p>
        </w:tc>
        <w:tc>
          <w:tcPr>
            <w:tcW w:w="374" w:type="pct"/>
          </w:tcPr>
          <w:p w14:paraId="0459D10C" w14:textId="5701FEA3" w:rsidR="008C3D24" w:rsidRPr="00224BDD" w:rsidRDefault="008C3D24">
            <w:pPr>
              <w:rPr>
                <w:bCs/>
                <w:sz w:val="16"/>
                <w:szCs w:val="16"/>
              </w:rPr>
            </w:pPr>
            <w:r>
              <w:rPr>
                <w:bCs/>
                <w:sz w:val="16"/>
                <w:szCs w:val="16"/>
              </w:rPr>
              <w:t>2.9.25</w:t>
            </w:r>
          </w:p>
        </w:tc>
        <w:tc>
          <w:tcPr>
            <w:tcW w:w="287" w:type="pct"/>
          </w:tcPr>
          <w:p w14:paraId="04B57B9A" w14:textId="3BE2C414" w:rsidR="008C3D24" w:rsidRPr="00224BDD" w:rsidRDefault="008C3D24">
            <w:pPr>
              <w:rPr>
                <w:bCs/>
                <w:sz w:val="16"/>
                <w:szCs w:val="16"/>
              </w:rPr>
            </w:pPr>
            <w:r>
              <w:rPr>
                <w:bCs/>
                <w:sz w:val="16"/>
                <w:szCs w:val="16"/>
              </w:rPr>
              <w:t>YES</w:t>
            </w:r>
          </w:p>
        </w:tc>
        <w:tc>
          <w:tcPr>
            <w:tcW w:w="1488" w:type="pct"/>
          </w:tcPr>
          <w:p w14:paraId="415365F0" w14:textId="584EBD68" w:rsidR="008C3D24" w:rsidRDefault="008C3D24">
            <w:pPr>
              <w:rPr>
                <w:bCs/>
                <w:sz w:val="16"/>
                <w:szCs w:val="16"/>
              </w:rPr>
            </w:pPr>
            <w:hyperlink r:id="rId21" w:history="1">
              <w:r w:rsidRPr="008C3D24">
                <w:rPr>
                  <w:rStyle w:val="Hyperlink"/>
                  <w:bCs/>
                  <w:sz w:val="16"/>
                  <w:szCs w:val="16"/>
                </w:rPr>
                <w:t>Deposit Return Scheme Update</w:t>
              </w:r>
            </w:hyperlink>
          </w:p>
        </w:tc>
        <w:tc>
          <w:tcPr>
            <w:tcW w:w="2477" w:type="pct"/>
          </w:tcPr>
          <w:p w14:paraId="72CC218E" w14:textId="26F54172" w:rsidR="008C3D24" w:rsidRDefault="008C3D24">
            <w:pPr>
              <w:rPr>
                <w:sz w:val="16"/>
                <w:szCs w:val="16"/>
              </w:rPr>
            </w:pPr>
            <w:r w:rsidRPr="008C3D24">
              <w:rPr>
                <w:sz w:val="16"/>
                <w:szCs w:val="16"/>
              </w:rPr>
              <w:t>The Scottish Government have undertaken multiple equality impact assessments to identify address and minimise the potential impacts of the scheme on those with protected characteristics. Deposit return scheme for Scotland: equality impact assessment. A further IIA for local context will be developed and evolve during the implementation of the scheme.</w:t>
            </w:r>
          </w:p>
          <w:p w14:paraId="377A7B5C" w14:textId="3EDAB9C6" w:rsidR="008C3D24" w:rsidRPr="008C3D24" w:rsidRDefault="008C3D24">
            <w:pPr>
              <w:rPr>
                <w:sz w:val="16"/>
                <w:szCs w:val="16"/>
              </w:rPr>
            </w:pPr>
          </w:p>
        </w:tc>
      </w:tr>
      <w:tr w:rsidR="000C79CD" w14:paraId="670D318F" w14:textId="77777777" w:rsidTr="00D325E3">
        <w:tc>
          <w:tcPr>
            <w:tcW w:w="373" w:type="pct"/>
          </w:tcPr>
          <w:p w14:paraId="181EEE90" w14:textId="3BE33EC8" w:rsidR="000C79CD" w:rsidRDefault="000C79CD">
            <w:pPr>
              <w:rPr>
                <w:bCs/>
                <w:sz w:val="16"/>
                <w:szCs w:val="16"/>
              </w:rPr>
            </w:pPr>
            <w:r>
              <w:rPr>
                <w:bCs/>
                <w:sz w:val="16"/>
                <w:szCs w:val="16"/>
              </w:rPr>
              <w:t>H&amp;CS</w:t>
            </w:r>
          </w:p>
        </w:tc>
        <w:tc>
          <w:tcPr>
            <w:tcW w:w="374" w:type="pct"/>
          </w:tcPr>
          <w:p w14:paraId="75B2BE9C" w14:textId="3FF38420" w:rsidR="000C79CD" w:rsidRDefault="000C79CD">
            <w:pPr>
              <w:rPr>
                <w:bCs/>
                <w:sz w:val="16"/>
                <w:szCs w:val="16"/>
              </w:rPr>
            </w:pPr>
            <w:r>
              <w:rPr>
                <w:bCs/>
                <w:sz w:val="16"/>
                <w:szCs w:val="16"/>
              </w:rPr>
              <w:t>9.9.25</w:t>
            </w:r>
          </w:p>
        </w:tc>
        <w:tc>
          <w:tcPr>
            <w:tcW w:w="287" w:type="pct"/>
          </w:tcPr>
          <w:p w14:paraId="65475EA1" w14:textId="0B97C5CB" w:rsidR="000C79CD" w:rsidRDefault="000C79CD">
            <w:pPr>
              <w:rPr>
                <w:bCs/>
                <w:sz w:val="16"/>
                <w:szCs w:val="16"/>
              </w:rPr>
            </w:pPr>
            <w:r>
              <w:rPr>
                <w:bCs/>
                <w:sz w:val="16"/>
                <w:szCs w:val="16"/>
              </w:rPr>
              <w:t>NO</w:t>
            </w:r>
          </w:p>
        </w:tc>
        <w:tc>
          <w:tcPr>
            <w:tcW w:w="1488" w:type="pct"/>
          </w:tcPr>
          <w:p w14:paraId="7E063F58" w14:textId="46C2C252" w:rsidR="000C79CD" w:rsidRDefault="000C79CD">
            <w:pPr>
              <w:rPr>
                <w:bCs/>
                <w:sz w:val="16"/>
                <w:szCs w:val="16"/>
              </w:rPr>
            </w:pPr>
            <w:hyperlink r:id="rId22" w:history="1">
              <w:r w:rsidRPr="000C79CD">
                <w:rPr>
                  <w:rStyle w:val="Hyperlink"/>
                  <w:bCs/>
                  <w:sz w:val="16"/>
                  <w:szCs w:val="16"/>
                </w:rPr>
                <w:t>Consultative Draft Local Housing Strategy 2025-2030</w:t>
              </w:r>
            </w:hyperlink>
          </w:p>
        </w:tc>
        <w:tc>
          <w:tcPr>
            <w:tcW w:w="2477" w:type="pct"/>
          </w:tcPr>
          <w:p w14:paraId="3AF55861" w14:textId="77777777" w:rsidR="000C79CD" w:rsidRDefault="000C79CD">
            <w:pPr>
              <w:rPr>
                <w:sz w:val="16"/>
                <w:szCs w:val="16"/>
              </w:rPr>
            </w:pPr>
            <w:r w:rsidRPr="000C79CD">
              <w:rPr>
                <w:sz w:val="16"/>
                <w:szCs w:val="16"/>
              </w:rPr>
              <w:t>It is a statutory requirement that equality issues should be addressed in the LHS. The LHS includes strong themes on economic disadvantage and inequality. Data and evidence about the specialist housing and support needs of equalities groups has been gathered as part of the Council’s Housing Need and Demand Assessment 2023. The consultative draft LHS sets out how the Council intends to address these needs. A draft Integrated Impact Assessment is available at APPENDIX I, which will form part of the public consultation. Equality groups will be included in the LHS consultation.</w:t>
            </w:r>
          </w:p>
          <w:p w14:paraId="50B912A5" w14:textId="3DA5BC82" w:rsidR="000C79CD" w:rsidRPr="000C79CD" w:rsidRDefault="000C79CD">
            <w:pPr>
              <w:rPr>
                <w:sz w:val="16"/>
                <w:szCs w:val="16"/>
              </w:rPr>
            </w:pPr>
          </w:p>
        </w:tc>
      </w:tr>
      <w:tr w:rsidR="000C79CD" w14:paraId="3BD4955D" w14:textId="77777777" w:rsidTr="00D325E3">
        <w:tc>
          <w:tcPr>
            <w:tcW w:w="373" w:type="pct"/>
          </w:tcPr>
          <w:p w14:paraId="12D40793" w14:textId="0729D9A2" w:rsidR="000C79CD" w:rsidRDefault="000C79CD">
            <w:pPr>
              <w:rPr>
                <w:bCs/>
                <w:sz w:val="16"/>
                <w:szCs w:val="16"/>
              </w:rPr>
            </w:pPr>
            <w:r>
              <w:rPr>
                <w:bCs/>
                <w:sz w:val="16"/>
                <w:szCs w:val="16"/>
              </w:rPr>
              <w:t>H&amp;CS</w:t>
            </w:r>
          </w:p>
        </w:tc>
        <w:tc>
          <w:tcPr>
            <w:tcW w:w="374" w:type="pct"/>
          </w:tcPr>
          <w:p w14:paraId="6B334953" w14:textId="00C8F2D0" w:rsidR="000C79CD" w:rsidRDefault="000C79CD">
            <w:pPr>
              <w:rPr>
                <w:bCs/>
                <w:sz w:val="16"/>
                <w:szCs w:val="16"/>
              </w:rPr>
            </w:pPr>
            <w:r>
              <w:rPr>
                <w:bCs/>
                <w:sz w:val="16"/>
                <w:szCs w:val="16"/>
              </w:rPr>
              <w:t>9.9.25</w:t>
            </w:r>
          </w:p>
        </w:tc>
        <w:tc>
          <w:tcPr>
            <w:tcW w:w="287" w:type="pct"/>
          </w:tcPr>
          <w:p w14:paraId="2990D476" w14:textId="04740BB4" w:rsidR="000C79CD" w:rsidRDefault="000C79CD">
            <w:pPr>
              <w:rPr>
                <w:bCs/>
                <w:sz w:val="16"/>
                <w:szCs w:val="16"/>
              </w:rPr>
            </w:pPr>
            <w:r>
              <w:rPr>
                <w:bCs/>
                <w:sz w:val="16"/>
                <w:szCs w:val="16"/>
              </w:rPr>
              <w:t>NO</w:t>
            </w:r>
          </w:p>
        </w:tc>
        <w:tc>
          <w:tcPr>
            <w:tcW w:w="1488" w:type="pct"/>
          </w:tcPr>
          <w:p w14:paraId="34338E81" w14:textId="7BD1C38D" w:rsidR="000C79CD" w:rsidRDefault="000C79CD">
            <w:pPr>
              <w:rPr>
                <w:bCs/>
                <w:sz w:val="16"/>
                <w:szCs w:val="16"/>
              </w:rPr>
            </w:pPr>
            <w:hyperlink r:id="rId23" w:history="1">
              <w:r w:rsidRPr="000C79CD">
                <w:rPr>
                  <w:rStyle w:val="Hyperlink"/>
                  <w:bCs/>
                  <w:sz w:val="16"/>
                  <w:szCs w:val="16"/>
                </w:rPr>
                <w:t>Rent Arrears Policy Review</w:t>
              </w:r>
            </w:hyperlink>
          </w:p>
        </w:tc>
        <w:tc>
          <w:tcPr>
            <w:tcW w:w="2477" w:type="pct"/>
          </w:tcPr>
          <w:p w14:paraId="02A7B6DF" w14:textId="77777777" w:rsidR="000C79CD" w:rsidRDefault="000C79CD">
            <w:pPr>
              <w:rPr>
                <w:sz w:val="16"/>
                <w:szCs w:val="16"/>
              </w:rPr>
            </w:pPr>
            <w:r w:rsidRPr="000C79CD">
              <w:rPr>
                <w:sz w:val="16"/>
                <w:szCs w:val="16"/>
              </w:rPr>
              <w:t>An IIA has been developed as part of the policy review and potential negative impacts identified can be mitigated. The IIA is attached at APPENDIX II.</w:t>
            </w:r>
          </w:p>
          <w:p w14:paraId="38EECA53" w14:textId="19678741" w:rsidR="000C79CD" w:rsidRPr="000C79CD" w:rsidRDefault="000C79CD">
            <w:pPr>
              <w:rPr>
                <w:sz w:val="16"/>
                <w:szCs w:val="16"/>
              </w:rPr>
            </w:pPr>
          </w:p>
        </w:tc>
      </w:tr>
      <w:tr w:rsidR="00E4001A" w14:paraId="4BB500E2" w14:textId="77777777" w:rsidTr="00D325E3">
        <w:tc>
          <w:tcPr>
            <w:tcW w:w="373" w:type="pct"/>
          </w:tcPr>
          <w:p w14:paraId="3F760904" w14:textId="6E439AE6" w:rsidR="00E4001A" w:rsidRPr="00224BDD" w:rsidRDefault="00E4001A">
            <w:pPr>
              <w:rPr>
                <w:bCs/>
                <w:sz w:val="16"/>
                <w:szCs w:val="16"/>
              </w:rPr>
            </w:pPr>
            <w:r>
              <w:rPr>
                <w:bCs/>
                <w:sz w:val="16"/>
                <w:szCs w:val="16"/>
              </w:rPr>
              <w:t>ECLS</w:t>
            </w:r>
          </w:p>
        </w:tc>
        <w:tc>
          <w:tcPr>
            <w:tcW w:w="374" w:type="pct"/>
          </w:tcPr>
          <w:p w14:paraId="2E44B299" w14:textId="377D30BD" w:rsidR="00E4001A" w:rsidRPr="00224BDD" w:rsidRDefault="00E4001A">
            <w:pPr>
              <w:rPr>
                <w:bCs/>
                <w:sz w:val="16"/>
                <w:szCs w:val="16"/>
              </w:rPr>
            </w:pPr>
            <w:r>
              <w:rPr>
                <w:bCs/>
                <w:sz w:val="16"/>
                <w:szCs w:val="16"/>
              </w:rPr>
              <w:t>16.9.25</w:t>
            </w:r>
          </w:p>
        </w:tc>
        <w:tc>
          <w:tcPr>
            <w:tcW w:w="287" w:type="pct"/>
          </w:tcPr>
          <w:p w14:paraId="1C8470C0" w14:textId="647FBED9" w:rsidR="00E4001A" w:rsidRPr="00224BDD" w:rsidRDefault="00E4001A">
            <w:pPr>
              <w:rPr>
                <w:bCs/>
                <w:sz w:val="16"/>
                <w:szCs w:val="16"/>
              </w:rPr>
            </w:pPr>
            <w:r>
              <w:rPr>
                <w:bCs/>
                <w:sz w:val="16"/>
                <w:szCs w:val="16"/>
              </w:rPr>
              <w:t>NO</w:t>
            </w:r>
          </w:p>
        </w:tc>
        <w:tc>
          <w:tcPr>
            <w:tcW w:w="1488" w:type="pct"/>
          </w:tcPr>
          <w:p w14:paraId="3F66D253" w14:textId="0378321E" w:rsidR="00E4001A" w:rsidRDefault="00E4001A">
            <w:pPr>
              <w:rPr>
                <w:bCs/>
                <w:sz w:val="16"/>
                <w:szCs w:val="16"/>
              </w:rPr>
            </w:pPr>
            <w:hyperlink r:id="rId24" w:history="1">
              <w:r w:rsidRPr="00E4001A">
                <w:rPr>
                  <w:rStyle w:val="Hyperlink"/>
                  <w:bCs/>
                  <w:sz w:val="16"/>
                  <w:szCs w:val="16"/>
                </w:rPr>
                <w:t>Relocation of Forres Academy – Statutory Consultation</w:t>
              </w:r>
            </w:hyperlink>
          </w:p>
          <w:p w14:paraId="1FE62F13" w14:textId="796E6F62" w:rsidR="00E4001A" w:rsidRDefault="00E4001A">
            <w:pPr>
              <w:rPr>
                <w:bCs/>
                <w:sz w:val="16"/>
                <w:szCs w:val="16"/>
              </w:rPr>
            </w:pPr>
          </w:p>
        </w:tc>
        <w:tc>
          <w:tcPr>
            <w:tcW w:w="2477" w:type="pct"/>
          </w:tcPr>
          <w:p w14:paraId="6CEF1F76" w14:textId="77777777" w:rsidR="00E4001A" w:rsidRDefault="00E4001A">
            <w:pPr>
              <w:rPr>
                <w:sz w:val="16"/>
                <w:szCs w:val="16"/>
              </w:rPr>
            </w:pPr>
            <w:r w:rsidRPr="00E4001A">
              <w:rPr>
                <w:sz w:val="16"/>
                <w:szCs w:val="16"/>
              </w:rPr>
              <w:t xml:space="preserve">An Integrated Impact Assessment (IIA) has been developed to identify, consider and assess any potential equalities, rights and socio-economic impacts or disadvantage on the affected staff, service users and community. The IIA will evolve during the lifetime of this project with feedback from the proposed statutory consultation used to further inform the IIA. The current IIA version is at Appendix 2 </w:t>
            </w:r>
          </w:p>
          <w:p w14:paraId="34C8FA2F" w14:textId="77777777" w:rsidR="00E4001A" w:rsidRDefault="00E4001A">
            <w:pPr>
              <w:rPr>
                <w:sz w:val="16"/>
                <w:szCs w:val="16"/>
              </w:rPr>
            </w:pPr>
          </w:p>
          <w:p w14:paraId="329DE05D" w14:textId="77777777" w:rsidR="00E4001A" w:rsidRDefault="00E4001A">
            <w:pPr>
              <w:rPr>
                <w:sz w:val="16"/>
                <w:szCs w:val="16"/>
              </w:rPr>
            </w:pPr>
            <w:r w:rsidRPr="00E4001A">
              <w:rPr>
                <w:sz w:val="16"/>
                <w:szCs w:val="16"/>
              </w:rPr>
              <w:t>The new build Forres Academy on the Applegrove/Roysvale site represents a significant opportunity to promote equity and inclusion. While the IIA has identified potential impacts, mitigations are also identified to minimise these impacts and ensure all pupils, staff, parents / carers, community and stakeholders can benefit equally from the new facility.</w:t>
            </w:r>
          </w:p>
          <w:p w14:paraId="5CA89DA7" w14:textId="2C96EB2D" w:rsidR="0045619A" w:rsidRPr="00E4001A" w:rsidRDefault="0045619A">
            <w:pPr>
              <w:rPr>
                <w:sz w:val="16"/>
                <w:szCs w:val="16"/>
              </w:rPr>
            </w:pPr>
          </w:p>
        </w:tc>
      </w:tr>
      <w:tr w:rsidR="005F0ED0" w14:paraId="482F9530" w14:textId="77777777" w:rsidTr="00D325E3">
        <w:tc>
          <w:tcPr>
            <w:tcW w:w="373" w:type="pct"/>
          </w:tcPr>
          <w:p w14:paraId="205CD37E" w14:textId="236C4230" w:rsidR="005F0ED0" w:rsidRPr="00224BDD" w:rsidRDefault="00224BDD">
            <w:pPr>
              <w:rPr>
                <w:bCs/>
                <w:sz w:val="16"/>
                <w:szCs w:val="16"/>
              </w:rPr>
            </w:pPr>
            <w:r w:rsidRPr="00224BDD">
              <w:rPr>
                <w:bCs/>
                <w:sz w:val="16"/>
                <w:szCs w:val="16"/>
              </w:rPr>
              <w:t>MC</w:t>
            </w:r>
          </w:p>
        </w:tc>
        <w:tc>
          <w:tcPr>
            <w:tcW w:w="374" w:type="pct"/>
          </w:tcPr>
          <w:p w14:paraId="242A4D8F" w14:textId="3692551A" w:rsidR="005F0ED0" w:rsidRPr="00224BDD" w:rsidRDefault="00224BDD">
            <w:pPr>
              <w:rPr>
                <w:bCs/>
                <w:sz w:val="16"/>
                <w:szCs w:val="16"/>
              </w:rPr>
            </w:pPr>
            <w:r w:rsidRPr="00224BDD">
              <w:rPr>
                <w:bCs/>
                <w:sz w:val="16"/>
                <w:szCs w:val="16"/>
              </w:rPr>
              <w:t>24.9.25</w:t>
            </w:r>
          </w:p>
        </w:tc>
        <w:tc>
          <w:tcPr>
            <w:tcW w:w="287" w:type="pct"/>
          </w:tcPr>
          <w:p w14:paraId="05EE370D" w14:textId="3915EEB1" w:rsidR="005F0ED0" w:rsidRPr="00224BDD" w:rsidRDefault="00224BDD">
            <w:pPr>
              <w:rPr>
                <w:bCs/>
                <w:sz w:val="16"/>
                <w:szCs w:val="16"/>
              </w:rPr>
            </w:pPr>
            <w:r w:rsidRPr="00224BDD">
              <w:rPr>
                <w:bCs/>
                <w:sz w:val="16"/>
                <w:szCs w:val="16"/>
              </w:rPr>
              <w:t>NO</w:t>
            </w:r>
          </w:p>
        </w:tc>
        <w:tc>
          <w:tcPr>
            <w:tcW w:w="1488" w:type="pct"/>
          </w:tcPr>
          <w:p w14:paraId="1EC2A7DF" w14:textId="718C224C" w:rsidR="005F0ED0" w:rsidRPr="00224BDD" w:rsidRDefault="00224BDD">
            <w:pPr>
              <w:rPr>
                <w:bCs/>
                <w:sz w:val="16"/>
                <w:szCs w:val="16"/>
              </w:rPr>
            </w:pPr>
            <w:hyperlink r:id="rId25" w:history="1">
              <w:r w:rsidRPr="00224BDD">
                <w:rPr>
                  <w:rStyle w:val="Hyperlink"/>
                  <w:bCs/>
                  <w:sz w:val="16"/>
                  <w:szCs w:val="16"/>
                </w:rPr>
                <w:t>Home to School Transport Policy</w:t>
              </w:r>
            </w:hyperlink>
          </w:p>
        </w:tc>
        <w:tc>
          <w:tcPr>
            <w:tcW w:w="2477" w:type="pct"/>
          </w:tcPr>
          <w:p w14:paraId="7D6EDCD5" w14:textId="77777777" w:rsidR="005F0ED0" w:rsidRDefault="00224BDD">
            <w:pPr>
              <w:rPr>
                <w:sz w:val="16"/>
                <w:szCs w:val="16"/>
              </w:rPr>
            </w:pPr>
            <w:r w:rsidRPr="00224BDD">
              <w:rPr>
                <w:sz w:val="16"/>
                <w:szCs w:val="16"/>
              </w:rPr>
              <w:t>Accessibility issues for vulnerable young people and those with mobility restrictions are taken into consideration in tendering. Separate travel arrangements are made for pupils with specific additional support or mobility requirements. An Integrated Impact Assessment has been completed which is enclosed with this report at Appendix B.</w:t>
            </w:r>
          </w:p>
          <w:p w14:paraId="2CAEC7B1" w14:textId="4599FAC4" w:rsidR="00224BDD" w:rsidRPr="00224BDD" w:rsidRDefault="00224BDD">
            <w:pPr>
              <w:rPr>
                <w:b/>
                <w:sz w:val="16"/>
                <w:szCs w:val="16"/>
              </w:rPr>
            </w:pPr>
          </w:p>
        </w:tc>
      </w:tr>
      <w:tr w:rsidR="00DC7845" w:rsidRPr="00224BDD" w14:paraId="2B617128" w14:textId="77777777" w:rsidTr="00D325E3">
        <w:tc>
          <w:tcPr>
            <w:tcW w:w="373" w:type="pct"/>
          </w:tcPr>
          <w:p w14:paraId="33455C12" w14:textId="0CDABF0F" w:rsidR="00DC7845" w:rsidRDefault="00DC7845">
            <w:pPr>
              <w:rPr>
                <w:bCs/>
                <w:sz w:val="16"/>
                <w:szCs w:val="16"/>
              </w:rPr>
            </w:pPr>
            <w:r>
              <w:rPr>
                <w:bCs/>
                <w:sz w:val="16"/>
                <w:szCs w:val="16"/>
              </w:rPr>
              <w:t>CORP</w:t>
            </w:r>
          </w:p>
        </w:tc>
        <w:tc>
          <w:tcPr>
            <w:tcW w:w="374" w:type="pct"/>
          </w:tcPr>
          <w:p w14:paraId="06E9E3ED" w14:textId="7322B974" w:rsidR="00DC7845" w:rsidRDefault="00DC7845">
            <w:pPr>
              <w:rPr>
                <w:bCs/>
                <w:sz w:val="16"/>
                <w:szCs w:val="16"/>
              </w:rPr>
            </w:pPr>
            <w:r>
              <w:rPr>
                <w:bCs/>
                <w:sz w:val="16"/>
                <w:szCs w:val="16"/>
              </w:rPr>
              <w:t>4.11.15</w:t>
            </w:r>
          </w:p>
        </w:tc>
        <w:tc>
          <w:tcPr>
            <w:tcW w:w="287" w:type="pct"/>
          </w:tcPr>
          <w:p w14:paraId="55D9B637" w14:textId="0520B865" w:rsidR="00DC7845" w:rsidRDefault="00DC7845">
            <w:pPr>
              <w:rPr>
                <w:bCs/>
                <w:sz w:val="16"/>
                <w:szCs w:val="16"/>
              </w:rPr>
            </w:pPr>
            <w:r>
              <w:rPr>
                <w:bCs/>
                <w:sz w:val="16"/>
                <w:szCs w:val="16"/>
              </w:rPr>
              <w:t>NO</w:t>
            </w:r>
          </w:p>
        </w:tc>
        <w:tc>
          <w:tcPr>
            <w:tcW w:w="1488" w:type="pct"/>
          </w:tcPr>
          <w:p w14:paraId="1C3041E3" w14:textId="20D91512" w:rsidR="00DC7845" w:rsidRDefault="00DC7845">
            <w:pPr>
              <w:rPr>
                <w:bCs/>
                <w:sz w:val="16"/>
                <w:szCs w:val="16"/>
              </w:rPr>
            </w:pPr>
            <w:hyperlink r:id="rId26" w:history="1">
              <w:r w:rsidRPr="00DC7845">
                <w:rPr>
                  <w:rStyle w:val="Hyperlink"/>
                  <w:bCs/>
                  <w:sz w:val="16"/>
                  <w:szCs w:val="16"/>
                </w:rPr>
                <w:t>Unacceptable Customer Actions Policy</w:t>
              </w:r>
            </w:hyperlink>
          </w:p>
        </w:tc>
        <w:tc>
          <w:tcPr>
            <w:tcW w:w="2477" w:type="pct"/>
          </w:tcPr>
          <w:p w14:paraId="70928800" w14:textId="77777777" w:rsidR="00DC7845" w:rsidRDefault="00DC7845">
            <w:pPr>
              <w:rPr>
                <w:sz w:val="16"/>
                <w:szCs w:val="16"/>
              </w:rPr>
            </w:pPr>
            <w:r w:rsidRPr="00DC7845">
              <w:rPr>
                <w:sz w:val="16"/>
                <w:szCs w:val="16"/>
              </w:rPr>
              <w:t>An integrated Impact Assessment has been drafted and is attached at Appendix 2.</w:t>
            </w:r>
          </w:p>
          <w:p w14:paraId="025C5625" w14:textId="526B1188" w:rsidR="00DC7845" w:rsidRPr="00DC7845" w:rsidRDefault="00DC7845">
            <w:pPr>
              <w:rPr>
                <w:sz w:val="16"/>
                <w:szCs w:val="16"/>
              </w:rPr>
            </w:pPr>
          </w:p>
        </w:tc>
      </w:tr>
      <w:tr w:rsidR="008C3D24" w:rsidRPr="00224BDD" w14:paraId="2DD22D5B" w14:textId="77777777" w:rsidTr="00D325E3">
        <w:tc>
          <w:tcPr>
            <w:tcW w:w="373" w:type="pct"/>
          </w:tcPr>
          <w:p w14:paraId="374E52D5" w14:textId="1E835DA1" w:rsidR="008C3D24" w:rsidRDefault="008C3D24">
            <w:pPr>
              <w:rPr>
                <w:bCs/>
                <w:sz w:val="16"/>
                <w:szCs w:val="16"/>
              </w:rPr>
            </w:pPr>
            <w:r>
              <w:rPr>
                <w:bCs/>
                <w:sz w:val="16"/>
                <w:szCs w:val="16"/>
              </w:rPr>
              <w:t>ED&amp;I</w:t>
            </w:r>
          </w:p>
        </w:tc>
        <w:tc>
          <w:tcPr>
            <w:tcW w:w="374" w:type="pct"/>
          </w:tcPr>
          <w:p w14:paraId="52CC94B0" w14:textId="44EF47E7" w:rsidR="008C3D24" w:rsidRDefault="008C3D24">
            <w:pPr>
              <w:rPr>
                <w:bCs/>
                <w:sz w:val="16"/>
                <w:szCs w:val="16"/>
              </w:rPr>
            </w:pPr>
            <w:r>
              <w:rPr>
                <w:bCs/>
                <w:sz w:val="16"/>
                <w:szCs w:val="16"/>
              </w:rPr>
              <w:t>11.11.25</w:t>
            </w:r>
          </w:p>
        </w:tc>
        <w:tc>
          <w:tcPr>
            <w:tcW w:w="287" w:type="pct"/>
          </w:tcPr>
          <w:p w14:paraId="0D70FF94" w14:textId="45DAAF7A" w:rsidR="008C3D24" w:rsidRDefault="008C3D24">
            <w:pPr>
              <w:rPr>
                <w:bCs/>
                <w:sz w:val="16"/>
                <w:szCs w:val="16"/>
              </w:rPr>
            </w:pPr>
            <w:r>
              <w:rPr>
                <w:bCs/>
                <w:sz w:val="16"/>
                <w:szCs w:val="16"/>
              </w:rPr>
              <w:t>NO</w:t>
            </w:r>
          </w:p>
        </w:tc>
        <w:tc>
          <w:tcPr>
            <w:tcW w:w="1488" w:type="pct"/>
          </w:tcPr>
          <w:p w14:paraId="430989DC" w14:textId="62267A9A" w:rsidR="008C3D24" w:rsidRDefault="008C3D24">
            <w:pPr>
              <w:rPr>
                <w:bCs/>
                <w:sz w:val="16"/>
                <w:szCs w:val="16"/>
              </w:rPr>
            </w:pPr>
            <w:hyperlink r:id="rId27" w:history="1">
              <w:r w:rsidRPr="008C3D24">
                <w:rPr>
                  <w:rStyle w:val="Hyperlink"/>
                  <w:bCs/>
                  <w:sz w:val="16"/>
                  <w:szCs w:val="16"/>
                </w:rPr>
                <w:t>Blue Badge (Disabled Person’s Parking Concessions) Procedure</w:t>
              </w:r>
            </w:hyperlink>
          </w:p>
        </w:tc>
        <w:tc>
          <w:tcPr>
            <w:tcW w:w="2477" w:type="pct"/>
          </w:tcPr>
          <w:p w14:paraId="6D7A61CC" w14:textId="77777777" w:rsidR="008C3D24" w:rsidRDefault="008C3D24">
            <w:pPr>
              <w:rPr>
                <w:sz w:val="16"/>
                <w:szCs w:val="16"/>
              </w:rPr>
            </w:pPr>
            <w:r w:rsidRPr="008C3D24">
              <w:rPr>
                <w:sz w:val="16"/>
                <w:szCs w:val="16"/>
              </w:rPr>
              <w:t>Please see the approved Integrated Impact Assessment (IIA) at Appendix 3.</w:t>
            </w:r>
          </w:p>
          <w:p w14:paraId="5FFAA67F" w14:textId="7E7FC22A" w:rsidR="008C3D24" w:rsidRPr="008C3D24" w:rsidRDefault="008C3D24">
            <w:pPr>
              <w:rPr>
                <w:sz w:val="16"/>
                <w:szCs w:val="16"/>
              </w:rPr>
            </w:pPr>
          </w:p>
        </w:tc>
      </w:tr>
      <w:tr w:rsidR="000C79CD" w:rsidRPr="00224BDD" w14:paraId="4B8C5630" w14:textId="77777777" w:rsidTr="00D325E3">
        <w:tc>
          <w:tcPr>
            <w:tcW w:w="373" w:type="pct"/>
          </w:tcPr>
          <w:p w14:paraId="16BA1B0B" w14:textId="11807A1E" w:rsidR="000C79CD" w:rsidRDefault="000C79CD">
            <w:pPr>
              <w:rPr>
                <w:bCs/>
                <w:sz w:val="16"/>
                <w:szCs w:val="16"/>
              </w:rPr>
            </w:pPr>
            <w:r>
              <w:rPr>
                <w:bCs/>
                <w:sz w:val="16"/>
                <w:szCs w:val="16"/>
              </w:rPr>
              <w:t>H&amp;CS</w:t>
            </w:r>
          </w:p>
        </w:tc>
        <w:tc>
          <w:tcPr>
            <w:tcW w:w="374" w:type="pct"/>
          </w:tcPr>
          <w:p w14:paraId="7CAC2193" w14:textId="0AE493E0" w:rsidR="000C79CD" w:rsidRDefault="000C79CD">
            <w:pPr>
              <w:rPr>
                <w:bCs/>
                <w:sz w:val="16"/>
                <w:szCs w:val="16"/>
              </w:rPr>
            </w:pPr>
            <w:r>
              <w:rPr>
                <w:bCs/>
                <w:sz w:val="16"/>
                <w:szCs w:val="16"/>
              </w:rPr>
              <w:t>18.11.25</w:t>
            </w:r>
          </w:p>
        </w:tc>
        <w:tc>
          <w:tcPr>
            <w:tcW w:w="287" w:type="pct"/>
          </w:tcPr>
          <w:p w14:paraId="72910786" w14:textId="55EFC666" w:rsidR="000C79CD" w:rsidRDefault="000C79CD">
            <w:pPr>
              <w:rPr>
                <w:bCs/>
                <w:sz w:val="16"/>
                <w:szCs w:val="16"/>
              </w:rPr>
            </w:pPr>
            <w:r>
              <w:rPr>
                <w:bCs/>
                <w:sz w:val="16"/>
                <w:szCs w:val="16"/>
              </w:rPr>
              <w:t>NO</w:t>
            </w:r>
          </w:p>
        </w:tc>
        <w:tc>
          <w:tcPr>
            <w:tcW w:w="1488" w:type="pct"/>
          </w:tcPr>
          <w:p w14:paraId="40DA9B16" w14:textId="60E16C9B" w:rsidR="000C79CD" w:rsidRDefault="000C79CD">
            <w:pPr>
              <w:rPr>
                <w:bCs/>
                <w:sz w:val="16"/>
                <w:szCs w:val="16"/>
              </w:rPr>
            </w:pPr>
            <w:hyperlink r:id="rId28" w:history="1">
              <w:r w:rsidRPr="000C79CD">
                <w:rPr>
                  <w:rStyle w:val="Hyperlink"/>
                  <w:bCs/>
                  <w:sz w:val="16"/>
                  <w:szCs w:val="16"/>
                </w:rPr>
                <w:t>Rent Management Policy Review</w:t>
              </w:r>
            </w:hyperlink>
          </w:p>
        </w:tc>
        <w:tc>
          <w:tcPr>
            <w:tcW w:w="2477" w:type="pct"/>
          </w:tcPr>
          <w:p w14:paraId="353E63B2" w14:textId="77777777" w:rsidR="000C79CD" w:rsidRDefault="000C79CD">
            <w:pPr>
              <w:rPr>
                <w:sz w:val="16"/>
                <w:szCs w:val="16"/>
              </w:rPr>
            </w:pPr>
            <w:r w:rsidRPr="000C79CD">
              <w:rPr>
                <w:sz w:val="16"/>
                <w:szCs w:val="16"/>
              </w:rPr>
              <w:t>An IIA has been revised to include the consultation feedback which has informed the final policy development. No new impacts / mitigations have been identified as a result of the consultation feedback. The IIA concludes that the mitigations are realistic and reasonable in terms of the proposed policy revisions and will address any inequality and / or disadvantage. The IIA is attached at APPENDIX III.</w:t>
            </w:r>
          </w:p>
          <w:p w14:paraId="1D7C7B21" w14:textId="23C125B1" w:rsidR="000C79CD" w:rsidRPr="000C79CD" w:rsidRDefault="000C79CD">
            <w:pPr>
              <w:rPr>
                <w:sz w:val="16"/>
                <w:szCs w:val="16"/>
              </w:rPr>
            </w:pPr>
          </w:p>
        </w:tc>
      </w:tr>
      <w:tr w:rsidR="000C79CD" w:rsidRPr="00224BDD" w14:paraId="00763323" w14:textId="77777777" w:rsidTr="00D325E3">
        <w:tc>
          <w:tcPr>
            <w:tcW w:w="373" w:type="pct"/>
          </w:tcPr>
          <w:p w14:paraId="12E61BA8" w14:textId="79CE282A" w:rsidR="000C79CD" w:rsidRDefault="000C79CD">
            <w:pPr>
              <w:rPr>
                <w:bCs/>
                <w:sz w:val="16"/>
                <w:szCs w:val="16"/>
              </w:rPr>
            </w:pPr>
            <w:r>
              <w:rPr>
                <w:bCs/>
                <w:sz w:val="16"/>
                <w:szCs w:val="16"/>
              </w:rPr>
              <w:lastRenderedPageBreak/>
              <w:t>H&amp;CS</w:t>
            </w:r>
          </w:p>
        </w:tc>
        <w:tc>
          <w:tcPr>
            <w:tcW w:w="374" w:type="pct"/>
          </w:tcPr>
          <w:p w14:paraId="20BFAA1D" w14:textId="3732BC95" w:rsidR="000C79CD" w:rsidRDefault="000C79CD">
            <w:pPr>
              <w:rPr>
                <w:bCs/>
                <w:sz w:val="16"/>
                <w:szCs w:val="16"/>
              </w:rPr>
            </w:pPr>
            <w:r>
              <w:rPr>
                <w:bCs/>
                <w:sz w:val="16"/>
                <w:szCs w:val="16"/>
              </w:rPr>
              <w:t>18.11.25</w:t>
            </w:r>
          </w:p>
        </w:tc>
        <w:tc>
          <w:tcPr>
            <w:tcW w:w="287" w:type="pct"/>
          </w:tcPr>
          <w:p w14:paraId="73EDE935" w14:textId="3F4BD0A3" w:rsidR="000C79CD" w:rsidRDefault="000C79CD">
            <w:pPr>
              <w:rPr>
                <w:bCs/>
                <w:sz w:val="16"/>
                <w:szCs w:val="16"/>
              </w:rPr>
            </w:pPr>
            <w:r>
              <w:rPr>
                <w:bCs/>
                <w:sz w:val="16"/>
                <w:szCs w:val="16"/>
              </w:rPr>
              <w:t>NO</w:t>
            </w:r>
          </w:p>
        </w:tc>
        <w:tc>
          <w:tcPr>
            <w:tcW w:w="1488" w:type="pct"/>
          </w:tcPr>
          <w:p w14:paraId="09188BD2" w14:textId="7A06CDC3" w:rsidR="000C79CD" w:rsidRDefault="000C79CD">
            <w:pPr>
              <w:rPr>
                <w:bCs/>
                <w:sz w:val="16"/>
                <w:szCs w:val="16"/>
              </w:rPr>
            </w:pPr>
            <w:hyperlink r:id="rId29" w:history="1">
              <w:r w:rsidRPr="000C79CD">
                <w:rPr>
                  <w:rStyle w:val="Hyperlink"/>
                  <w:bCs/>
                  <w:sz w:val="16"/>
                  <w:szCs w:val="16"/>
                </w:rPr>
                <w:t>Domestic Abuse Policy</w:t>
              </w:r>
            </w:hyperlink>
          </w:p>
        </w:tc>
        <w:tc>
          <w:tcPr>
            <w:tcW w:w="2477" w:type="pct"/>
          </w:tcPr>
          <w:p w14:paraId="023C4A5D" w14:textId="77777777" w:rsidR="000C79CD" w:rsidRDefault="000C79CD">
            <w:pPr>
              <w:rPr>
                <w:sz w:val="16"/>
                <w:szCs w:val="16"/>
              </w:rPr>
            </w:pPr>
            <w:r w:rsidRPr="000C79CD">
              <w:rPr>
                <w:sz w:val="16"/>
                <w:szCs w:val="16"/>
              </w:rPr>
              <w:t>The draft Domestic Abuse Policy affords significant protections and support for women and children therefore positively impacting these protected groups, who are disproportionately impacted by domestic abuse. An IIA has been developed as part of the policy development and is attached at APPENDIX II. Any relevant consultation feedback will be used to further inform the IIA to ensure any potential negative impacts identified can be mitigated prior to implementation. The policy and its commitments will assist the Council in meeting it’s statutory public sector equality duty and will be included in the Council’s Equality Outcomes for 2025-2029.</w:t>
            </w:r>
          </w:p>
          <w:p w14:paraId="0DB8AA9E" w14:textId="52451B1C" w:rsidR="000C79CD" w:rsidRPr="000C79CD" w:rsidRDefault="000C79CD">
            <w:pPr>
              <w:rPr>
                <w:sz w:val="16"/>
                <w:szCs w:val="16"/>
              </w:rPr>
            </w:pPr>
          </w:p>
        </w:tc>
      </w:tr>
      <w:tr w:rsidR="00F94325" w:rsidRPr="00224BDD" w14:paraId="4931A351" w14:textId="77777777" w:rsidTr="00D325E3">
        <w:tc>
          <w:tcPr>
            <w:tcW w:w="373" w:type="pct"/>
          </w:tcPr>
          <w:p w14:paraId="4839191A" w14:textId="3C011E75" w:rsidR="00F94325" w:rsidRDefault="00F94325">
            <w:pPr>
              <w:rPr>
                <w:bCs/>
                <w:sz w:val="16"/>
                <w:szCs w:val="16"/>
              </w:rPr>
            </w:pPr>
            <w:r>
              <w:rPr>
                <w:bCs/>
                <w:sz w:val="16"/>
                <w:szCs w:val="16"/>
              </w:rPr>
              <w:t>H&amp;CS</w:t>
            </w:r>
          </w:p>
        </w:tc>
        <w:tc>
          <w:tcPr>
            <w:tcW w:w="374" w:type="pct"/>
          </w:tcPr>
          <w:p w14:paraId="5184C91F" w14:textId="1FDC4DA7" w:rsidR="00F94325" w:rsidRDefault="00F94325">
            <w:pPr>
              <w:rPr>
                <w:bCs/>
                <w:sz w:val="16"/>
                <w:szCs w:val="16"/>
              </w:rPr>
            </w:pPr>
            <w:r>
              <w:rPr>
                <w:bCs/>
                <w:sz w:val="16"/>
                <w:szCs w:val="16"/>
              </w:rPr>
              <w:t>18.11.25</w:t>
            </w:r>
          </w:p>
        </w:tc>
        <w:tc>
          <w:tcPr>
            <w:tcW w:w="287" w:type="pct"/>
          </w:tcPr>
          <w:p w14:paraId="6E247975" w14:textId="2D9BF676" w:rsidR="00F94325" w:rsidRDefault="00F94325">
            <w:pPr>
              <w:rPr>
                <w:bCs/>
                <w:sz w:val="16"/>
                <w:szCs w:val="16"/>
              </w:rPr>
            </w:pPr>
            <w:r>
              <w:rPr>
                <w:bCs/>
                <w:sz w:val="16"/>
                <w:szCs w:val="16"/>
              </w:rPr>
              <w:t>NO</w:t>
            </w:r>
          </w:p>
        </w:tc>
        <w:tc>
          <w:tcPr>
            <w:tcW w:w="1488" w:type="pct"/>
          </w:tcPr>
          <w:p w14:paraId="18452D7A" w14:textId="28690043" w:rsidR="00F94325" w:rsidRDefault="00F94325">
            <w:pPr>
              <w:rPr>
                <w:bCs/>
                <w:sz w:val="16"/>
                <w:szCs w:val="16"/>
              </w:rPr>
            </w:pPr>
            <w:hyperlink r:id="rId30" w:history="1">
              <w:r w:rsidRPr="00F94325">
                <w:rPr>
                  <w:rStyle w:val="Hyperlink"/>
                  <w:bCs/>
                  <w:sz w:val="16"/>
                  <w:szCs w:val="16"/>
                </w:rPr>
                <w:t>Common Repairs Policy Review</w:t>
              </w:r>
            </w:hyperlink>
          </w:p>
          <w:p w14:paraId="08547D7C" w14:textId="140B2778" w:rsidR="00F94325" w:rsidRDefault="00F94325">
            <w:pPr>
              <w:rPr>
                <w:bCs/>
                <w:sz w:val="16"/>
                <w:szCs w:val="16"/>
              </w:rPr>
            </w:pPr>
          </w:p>
        </w:tc>
        <w:tc>
          <w:tcPr>
            <w:tcW w:w="2477" w:type="pct"/>
          </w:tcPr>
          <w:p w14:paraId="2C5EBAD1" w14:textId="3B38DC10" w:rsidR="00F94325" w:rsidRPr="00F94325" w:rsidRDefault="00F94325">
            <w:pPr>
              <w:rPr>
                <w:sz w:val="16"/>
                <w:szCs w:val="16"/>
              </w:rPr>
            </w:pPr>
            <w:r w:rsidRPr="00F94325">
              <w:rPr>
                <w:sz w:val="16"/>
                <w:szCs w:val="16"/>
              </w:rPr>
              <w:t>An IIA has been developed as part of the policy review and is attached at APPENDIX II.</w:t>
            </w:r>
          </w:p>
        </w:tc>
      </w:tr>
      <w:tr w:rsidR="005F0ED0" w:rsidRPr="00224BDD" w14:paraId="49606CE2" w14:textId="77777777" w:rsidTr="00D325E3">
        <w:tc>
          <w:tcPr>
            <w:tcW w:w="373" w:type="pct"/>
          </w:tcPr>
          <w:p w14:paraId="2E81D153" w14:textId="1B3194A6" w:rsidR="005F0ED0" w:rsidRPr="00224BDD" w:rsidRDefault="00224BDD">
            <w:pPr>
              <w:rPr>
                <w:bCs/>
                <w:sz w:val="16"/>
                <w:szCs w:val="16"/>
              </w:rPr>
            </w:pPr>
            <w:r>
              <w:rPr>
                <w:bCs/>
                <w:sz w:val="16"/>
                <w:szCs w:val="16"/>
              </w:rPr>
              <w:t>MC</w:t>
            </w:r>
          </w:p>
        </w:tc>
        <w:tc>
          <w:tcPr>
            <w:tcW w:w="374" w:type="pct"/>
          </w:tcPr>
          <w:p w14:paraId="45481C8B" w14:textId="1FF86255" w:rsidR="005F0ED0" w:rsidRPr="00224BDD" w:rsidRDefault="00224BDD">
            <w:pPr>
              <w:rPr>
                <w:bCs/>
                <w:sz w:val="16"/>
                <w:szCs w:val="16"/>
              </w:rPr>
            </w:pPr>
            <w:r>
              <w:rPr>
                <w:bCs/>
                <w:sz w:val="16"/>
                <w:szCs w:val="16"/>
              </w:rPr>
              <w:t>3.12.25</w:t>
            </w:r>
          </w:p>
        </w:tc>
        <w:tc>
          <w:tcPr>
            <w:tcW w:w="287" w:type="pct"/>
          </w:tcPr>
          <w:p w14:paraId="7A7BCD98" w14:textId="550EB76F" w:rsidR="005F0ED0" w:rsidRPr="00224BDD" w:rsidRDefault="00224BDD">
            <w:pPr>
              <w:rPr>
                <w:bCs/>
                <w:sz w:val="16"/>
                <w:szCs w:val="16"/>
              </w:rPr>
            </w:pPr>
            <w:r>
              <w:rPr>
                <w:bCs/>
                <w:sz w:val="16"/>
                <w:szCs w:val="16"/>
              </w:rPr>
              <w:t>NO</w:t>
            </w:r>
          </w:p>
        </w:tc>
        <w:tc>
          <w:tcPr>
            <w:tcW w:w="1488" w:type="pct"/>
          </w:tcPr>
          <w:p w14:paraId="7A8B3CE5" w14:textId="5E60FC80" w:rsidR="005F0ED0" w:rsidRPr="00224BDD" w:rsidRDefault="00224BDD">
            <w:pPr>
              <w:rPr>
                <w:bCs/>
                <w:sz w:val="16"/>
                <w:szCs w:val="16"/>
              </w:rPr>
            </w:pPr>
            <w:hyperlink r:id="rId31" w:history="1">
              <w:r w:rsidRPr="00224BDD">
                <w:rPr>
                  <w:rStyle w:val="Hyperlink"/>
                  <w:bCs/>
                  <w:sz w:val="16"/>
                  <w:szCs w:val="16"/>
                </w:rPr>
                <w:t>Community Council Administration Grant Review</w:t>
              </w:r>
            </w:hyperlink>
          </w:p>
        </w:tc>
        <w:tc>
          <w:tcPr>
            <w:tcW w:w="2477" w:type="pct"/>
          </w:tcPr>
          <w:p w14:paraId="640D663D" w14:textId="77777777" w:rsidR="005F0ED0" w:rsidRDefault="00224BDD">
            <w:pPr>
              <w:rPr>
                <w:sz w:val="16"/>
                <w:szCs w:val="16"/>
              </w:rPr>
            </w:pPr>
            <w:r w:rsidRPr="00224BDD">
              <w:rPr>
                <w:sz w:val="16"/>
                <w:szCs w:val="16"/>
              </w:rPr>
              <w:t>Increasing the grant to Community Councils will enable them to cover expenses of Community Councillors, making participation more accessible and inclusive. By providing f inancial support for travel, caring costs and other necessary costs, more individuals from diverse backgrounds will be in a position to join and contribute to the work of their Community Council, ensuring a broader range of voices and perspectives are represented within the community. An Integrated Impact Assessment has been completed which is enclosed with this report at Appendix 3.</w:t>
            </w:r>
          </w:p>
          <w:p w14:paraId="4AAC26FC" w14:textId="7BD90BF5" w:rsidR="00224BDD" w:rsidRPr="00224BDD" w:rsidRDefault="00224BDD">
            <w:pPr>
              <w:rPr>
                <w:bCs/>
                <w:sz w:val="16"/>
                <w:szCs w:val="16"/>
              </w:rPr>
            </w:pPr>
          </w:p>
        </w:tc>
      </w:tr>
      <w:tr w:rsidR="005F0ED0" w:rsidRPr="00224BDD" w14:paraId="623C28E4" w14:textId="77777777" w:rsidTr="00D325E3">
        <w:tc>
          <w:tcPr>
            <w:tcW w:w="373" w:type="pct"/>
          </w:tcPr>
          <w:p w14:paraId="798C0377" w14:textId="729C970E" w:rsidR="005F0ED0" w:rsidRPr="00224BDD" w:rsidRDefault="00224BDD">
            <w:pPr>
              <w:rPr>
                <w:bCs/>
                <w:sz w:val="16"/>
                <w:szCs w:val="16"/>
              </w:rPr>
            </w:pPr>
            <w:r>
              <w:rPr>
                <w:bCs/>
                <w:sz w:val="16"/>
                <w:szCs w:val="16"/>
              </w:rPr>
              <w:t>MC</w:t>
            </w:r>
          </w:p>
        </w:tc>
        <w:tc>
          <w:tcPr>
            <w:tcW w:w="374" w:type="pct"/>
          </w:tcPr>
          <w:p w14:paraId="0B6DD835" w14:textId="7629F42C" w:rsidR="005F0ED0" w:rsidRPr="00224BDD" w:rsidRDefault="00224BDD">
            <w:pPr>
              <w:rPr>
                <w:bCs/>
                <w:sz w:val="16"/>
                <w:szCs w:val="16"/>
              </w:rPr>
            </w:pPr>
            <w:r>
              <w:rPr>
                <w:bCs/>
                <w:sz w:val="16"/>
                <w:szCs w:val="16"/>
              </w:rPr>
              <w:t>3.12.25</w:t>
            </w:r>
          </w:p>
        </w:tc>
        <w:tc>
          <w:tcPr>
            <w:tcW w:w="287" w:type="pct"/>
          </w:tcPr>
          <w:p w14:paraId="100C12FE" w14:textId="25B73089" w:rsidR="005F0ED0" w:rsidRPr="00224BDD" w:rsidRDefault="00224BDD">
            <w:pPr>
              <w:rPr>
                <w:bCs/>
                <w:sz w:val="16"/>
                <w:szCs w:val="16"/>
              </w:rPr>
            </w:pPr>
            <w:r>
              <w:rPr>
                <w:bCs/>
                <w:sz w:val="16"/>
                <w:szCs w:val="16"/>
              </w:rPr>
              <w:t>NO</w:t>
            </w:r>
          </w:p>
        </w:tc>
        <w:tc>
          <w:tcPr>
            <w:tcW w:w="1488" w:type="pct"/>
          </w:tcPr>
          <w:p w14:paraId="3A41546B" w14:textId="1E1F30C4" w:rsidR="005F0ED0" w:rsidRPr="00224BDD" w:rsidRDefault="00224BDD">
            <w:pPr>
              <w:rPr>
                <w:bCs/>
                <w:sz w:val="16"/>
                <w:szCs w:val="16"/>
              </w:rPr>
            </w:pPr>
            <w:hyperlink r:id="rId32" w:history="1">
              <w:r w:rsidRPr="008D09CE">
                <w:rPr>
                  <w:rStyle w:val="Hyperlink"/>
                  <w:bCs/>
                  <w:sz w:val="16"/>
                  <w:szCs w:val="16"/>
                </w:rPr>
                <w:t>Libraries, Learning Centres and Heritage Service Transformation</w:t>
              </w:r>
            </w:hyperlink>
          </w:p>
        </w:tc>
        <w:tc>
          <w:tcPr>
            <w:tcW w:w="2477" w:type="pct"/>
          </w:tcPr>
          <w:p w14:paraId="6C4570CB" w14:textId="77777777" w:rsidR="008D09CE" w:rsidRDefault="008D09CE">
            <w:pPr>
              <w:rPr>
                <w:sz w:val="16"/>
                <w:szCs w:val="16"/>
              </w:rPr>
            </w:pPr>
            <w:r w:rsidRPr="008D09CE">
              <w:rPr>
                <w:sz w:val="16"/>
                <w:szCs w:val="16"/>
              </w:rPr>
              <w:t xml:space="preserve">An Integrated Impact Assessment has been completed for this report and is available as Appendix 2. One of the main reasons for proposing a new tiered operating model for libraries is to ensure equality of provision across all 11 branches based on evidence criteria. The current 72% variation based on no evidence criteria could be viewed as being inequal across the Moray area. </w:t>
            </w:r>
          </w:p>
          <w:p w14:paraId="3D6DC04F" w14:textId="77777777" w:rsidR="008D09CE" w:rsidRDefault="008D09CE">
            <w:pPr>
              <w:rPr>
                <w:sz w:val="16"/>
                <w:szCs w:val="16"/>
              </w:rPr>
            </w:pPr>
          </w:p>
          <w:p w14:paraId="1BDAF5B3" w14:textId="77777777" w:rsidR="008D09CE" w:rsidRDefault="008D09CE">
            <w:pPr>
              <w:rPr>
                <w:sz w:val="16"/>
                <w:szCs w:val="16"/>
              </w:rPr>
            </w:pPr>
            <w:r w:rsidRPr="008D09CE">
              <w:rPr>
                <w:sz w:val="16"/>
                <w:szCs w:val="16"/>
              </w:rPr>
              <w:t xml:space="preserve">Option 1 would result in 6 libraries increasing their operational hours, 3 libraries remaining with the status quo and 2 libraries decreasing ther operational hours. It is determined that this impact would be low for Elgin but medium for Keith. </w:t>
            </w:r>
          </w:p>
          <w:p w14:paraId="29D472E3" w14:textId="77777777" w:rsidR="008D09CE" w:rsidRDefault="008D09CE">
            <w:pPr>
              <w:rPr>
                <w:sz w:val="16"/>
                <w:szCs w:val="16"/>
              </w:rPr>
            </w:pPr>
          </w:p>
          <w:p w14:paraId="0DC0AE73" w14:textId="77777777" w:rsidR="005F0ED0" w:rsidRDefault="008D09CE">
            <w:pPr>
              <w:rPr>
                <w:sz w:val="16"/>
                <w:szCs w:val="16"/>
              </w:rPr>
            </w:pPr>
            <w:r w:rsidRPr="008D09CE">
              <w:rPr>
                <w:sz w:val="16"/>
                <w:szCs w:val="16"/>
              </w:rPr>
              <w:t>Option 2 would result in 3 libraries increasing their operational hours, 4 libraries remaining with the status quo and 4 libraries decreasing their operational hours. It is determined that this impact would be low.</w:t>
            </w:r>
          </w:p>
          <w:p w14:paraId="775064E9" w14:textId="3A109943" w:rsidR="0045619A" w:rsidRPr="008D09CE" w:rsidRDefault="0045619A">
            <w:pPr>
              <w:rPr>
                <w:bCs/>
                <w:sz w:val="16"/>
                <w:szCs w:val="16"/>
              </w:rPr>
            </w:pPr>
          </w:p>
        </w:tc>
      </w:tr>
      <w:tr w:rsidR="0045619A" w:rsidRPr="00224BDD" w14:paraId="01B3BD13" w14:textId="77777777" w:rsidTr="00D325E3">
        <w:tc>
          <w:tcPr>
            <w:tcW w:w="373" w:type="pct"/>
          </w:tcPr>
          <w:p w14:paraId="00F4E420" w14:textId="65C412F9" w:rsidR="0045619A" w:rsidRDefault="0045619A">
            <w:pPr>
              <w:rPr>
                <w:bCs/>
                <w:sz w:val="16"/>
                <w:szCs w:val="16"/>
              </w:rPr>
            </w:pPr>
            <w:r>
              <w:rPr>
                <w:bCs/>
                <w:sz w:val="16"/>
                <w:szCs w:val="16"/>
              </w:rPr>
              <w:t>ECLS</w:t>
            </w:r>
          </w:p>
        </w:tc>
        <w:tc>
          <w:tcPr>
            <w:tcW w:w="374" w:type="pct"/>
          </w:tcPr>
          <w:p w14:paraId="4DE049BC" w14:textId="2D562A69" w:rsidR="0045619A" w:rsidRDefault="0045619A">
            <w:pPr>
              <w:rPr>
                <w:bCs/>
                <w:sz w:val="16"/>
                <w:szCs w:val="16"/>
              </w:rPr>
            </w:pPr>
            <w:r>
              <w:rPr>
                <w:bCs/>
                <w:sz w:val="16"/>
                <w:szCs w:val="16"/>
              </w:rPr>
              <w:t>11.2.26</w:t>
            </w:r>
          </w:p>
        </w:tc>
        <w:tc>
          <w:tcPr>
            <w:tcW w:w="287" w:type="pct"/>
          </w:tcPr>
          <w:p w14:paraId="30798E49" w14:textId="3C5367A1" w:rsidR="0045619A" w:rsidRDefault="0045619A">
            <w:pPr>
              <w:rPr>
                <w:bCs/>
                <w:sz w:val="16"/>
                <w:szCs w:val="16"/>
              </w:rPr>
            </w:pPr>
            <w:r>
              <w:rPr>
                <w:bCs/>
                <w:sz w:val="16"/>
                <w:szCs w:val="16"/>
              </w:rPr>
              <w:t>NO</w:t>
            </w:r>
          </w:p>
        </w:tc>
        <w:tc>
          <w:tcPr>
            <w:tcW w:w="1488" w:type="pct"/>
          </w:tcPr>
          <w:p w14:paraId="4254556B" w14:textId="63FBFAA9" w:rsidR="0045619A" w:rsidRDefault="0045619A">
            <w:pPr>
              <w:rPr>
                <w:bCs/>
                <w:sz w:val="16"/>
                <w:szCs w:val="16"/>
              </w:rPr>
            </w:pPr>
            <w:hyperlink r:id="rId33" w:history="1">
              <w:r w:rsidRPr="0045619A">
                <w:rPr>
                  <w:rStyle w:val="Hyperlink"/>
                  <w:bCs/>
                  <w:sz w:val="16"/>
                  <w:szCs w:val="16"/>
                </w:rPr>
                <w:t>Relocation of Forres Academy – Statutory Consultation</w:t>
              </w:r>
            </w:hyperlink>
          </w:p>
        </w:tc>
        <w:tc>
          <w:tcPr>
            <w:tcW w:w="2477" w:type="pct"/>
          </w:tcPr>
          <w:p w14:paraId="309BD478" w14:textId="77777777" w:rsidR="0045619A" w:rsidRDefault="0045619A">
            <w:pPr>
              <w:rPr>
                <w:sz w:val="16"/>
                <w:szCs w:val="16"/>
              </w:rPr>
            </w:pPr>
            <w:r w:rsidRPr="0045619A">
              <w:rPr>
                <w:sz w:val="16"/>
                <w:szCs w:val="16"/>
              </w:rPr>
              <w:t xml:space="preserve">An Integrated Impact Assessment (IIA) has been developed to identify, consider and assess any potential equalities, rights and socio-economic impacts or disadvantage on the affected staff, service users and community. The IIA has evolved during the lifetime of this project with feedback from the proposed statutory consultation used to further inform it. The revised IIA version is at Appendix 2. </w:t>
            </w:r>
          </w:p>
          <w:p w14:paraId="66C1778D" w14:textId="77777777" w:rsidR="0045619A" w:rsidRDefault="0045619A">
            <w:pPr>
              <w:rPr>
                <w:sz w:val="16"/>
                <w:szCs w:val="16"/>
              </w:rPr>
            </w:pPr>
          </w:p>
          <w:p w14:paraId="513669C5" w14:textId="77777777" w:rsidR="0045619A" w:rsidRDefault="0045619A">
            <w:pPr>
              <w:rPr>
                <w:sz w:val="16"/>
                <w:szCs w:val="16"/>
              </w:rPr>
            </w:pPr>
            <w:r w:rsidRPr="0045619A">
              <w:rPr>
                <w:sz w:val="16"/>
                <w:szCs w:val="16"/>
              </w:rPr>
              <w:t>The new build Forres Academy on the Applegrove/Roysvale site represents a significant opportunity to promote equity and inclusion. While the IIA has identified potential impacts, mitigations are also identified to minimise these impacts and ensure all pupils, staff, parents / carers, community and stakeholders can benefit equally from the new facility.</w:t>
            </w:r>
          </w:p>
          <w:p w14:paraId="385DCDFA" w14:textId="6532BE75" w:rsidR="0045619A" w:rsidRPr="0045619A" w:rsidRDefault="0045619A">
            <w:pPr>
              <w:rPr>
                <w:sz w:val="16"/>
                <w:szCs w:val="16"/>
              </w:rPr>
            </w:pPr>
          </w:p>
        </w:tc>
      </w:tr>
      <w:tr w:rsidR="005F0ED0" w:rsidRPr="00224BDD" w14:paraId="17EA23F9" w14:textId="77777777" w:rsidTr="00D325E3">
        <w:tc>
          <w:tcPr>
            <w:tcW w:w="373" w:type="pct"/>
          </w:tcPr>
          <w:p w14:paraId="7B8F13FE" w14:textId="376C6356" w:rsidR="005F0ED0" w:rsidRPr="00224BDD" w:rsidRDefault="008D09CE">
            <w:pPr>
              <w:rPr>
                <w:bCs/>
                <w:sz w:val="16"/>
                <w:szCs w:val="16"/>
              </w:rPr>
            </w:pPr>
            <w:r>
              <w:rPr>
                <w:bCs/>
                <w:sz w:val="16"/>
                <w:szCs w:val="16"/>
              </w:rPr>
              <w:t>MC</w:t>
            </w:r>
          </w:p>
        </w:tc>
        <w:tc>
          <w:tcPr>
            <w:tcW w:w="374" w:type="pct"/>
          </w:tcPr>
          <w:p w14:paraId="3AFEE20C" w14:textId="22C6F6CB" w:rsidR="005F0ED0" w:rsidRPr="00224BDD" w:rsidRDefault="008D09CE">
            <w:pPr>
              <w:rPr>
                <w:bCs/>
                <w:sz w:val="16"/>
                <w:szCs w:val="16"/>
              </w:rPr>
            </w:pPr>
            <w:r>
              <w:rPr>
                <w:bCs/>
                <w:sz w:val="16"/>
                <w:szCs w:val="16"/>
              </w:rPr>
              <w:t>25.2.26</w:t>
            </w:r>
          </w:p>
        </w:tc>
        <w:tc>
          <w:tcPr>
            <w:tcW w:w="287" w:type="pct"/>
          </w:tcPr>
          <w:p w14:paraId="5F32BA0D" w14:textId="1FBB1C84" w:rsidR="005F0ED0" w:rsidRPr="00224BDD" w:rsidRDefault="008D09CE">
            <w:pPr>
              <w:rPr>
                <w:bCs/>
                <w:sz w:val="16"/>
                <w:szCs w:val="16"/>
              </w:rPr>
            </w:pPr>
            <w:r>
              <w:rPr>
                <w:bCs/>
                <w:sz w:val="16"/>
                <w:szCs w:val="16"/>
              </w:rPr>
              <w:t>NO</w:t>
            </w:r>
          </w:p>
        </w:tc>
        <w:tc>
          <w:tcPr>
            <w:tcW w:w="1488" w:type="pct"/>
          </w:tcPr>
          <w:p w14:paraId="381880CE" w14:textId="315EA301" w:rsidR="005F0ED0" w:rsidRPr="00224BDD" w:rsidRDefault="008D09CE">
            <w:pPr>
              <w:rPr>
                <w:bCs/>
                <w:sz w:val="16"/>
                <w:szCs w:val="16"/>
              </w:rPr>
            </w:pPr>
            <w:hyperlink r:id="rId34" w:history="1">
              <w:r w:rsidRPr="008D09CE">
                <w:rPr>
                  <w:rStyle w:val="Hyperlink"/>
                  <w:bCs/>
                  <w:sz w:val="16"/>
                  <w:szCs w:val="16"/>
                </w:rPr>
                <w:t>Relocation of Forres Academy – Statutory Consultation</w:t>
              </w:r>
            </w:hyperlink>
          </w:p>
        </w:tc>
        <w:tc>
          <w:tcPr>
            <w:tcW w:w="2477" w:type="pct"/>
          </w:tcPr>
          <w:p w14:paraId="5BD30188" w14:textId="77777777" w:rsidR="008D09CE" w:rsidRDefault="008D09CE">
            <w:pPr>
              <w:rPr>
                <w:sz w:val="16"/>
                <w:szCs w:val="16"/>
              </w:rPr>
            </w:pPr>
            <w:r w:rsidRPr="008D09CE">
              <w:rPr>
                <w:sz w:val="16"/>
                <w:szCs w:val="16"/>
              </w:rPr>
              <w:t xml:space="preserve">An Integrated Impact Assessment (IIA) has been developed to identify, consider and assess any potential equalities, rights and socio-economic impacts or disadvantage on the affected staff, service users and community. The IIA has evolved during the lifetime of this project with feedback from the proposed statutory consultation used to further inform it. The revised IIA version is at Appendix 2. </w:t>
            </w:r>
          </w:p>
          <w:p w14:paraId="0844842C" w14:textId="77777777" w:rsidR="008D09CE" w:rsidRDefault="008D09CE">
            <w:pPr>
              <w:rPr>
                <w:sz w:val="16"/>
                <w:szCs w:val="16"/>
              </w:rPr>
            </w:pPr>
          </w:p>
          <w:p w14:paraId="48AA1832" w14:textId="77777777" w:rsidR="005F0ED0" w:rsidRDefault="008D09CE">
            <w:pPr>
              <w:rPr>
                <w:sz w:val="16"/>
                <w:szCs w:val="16"/>
              </w:rPr>
            </w:pPr>
            <w:r w:rsidRPr="008D09CE">
              <w:rPr>
                <w:sz w:val="16"/>
                <w:szCs w:val="16"/>
              </w:rPr>
              <w:t>The new build Forres Academy on the Applegrove/Roysvale site represents a significant opportunity to promote equity and inclusion. While the IIA has identified potential impacts, mitigations are also identified to minimise these impacts and ensure all pupils, staff, parents / carers, community and stakeholders can benefit equally from the new facility.</w:t>
            </w:r>
          </w:p>
          <w:p w14:paraId="1F1230E2" w14:textId="48EEB28C" w:rsidR="0045619A" w:rsidRPr="008D09CE" w:rsidRDefault="0045619A">
            <w:pPr>
              <w:rPr>
                <w:bCs/>
                <w:sz w:val="16"/>
                <w:szCs w:val="16"/>
              </w:rPr>
            </w:pPr>
          </w:p>
        </w:tc>
      </w:tr>
      <w:tr w:rsidR="005F0ED0" w:rsidRPr="00224BDD" w14:paraId="447D565E" w14:textId="77777777" w:rsidTr="00D325E3">
        <w:tc>
          <w:tcPr>
            <w:tcW w:w="373" w:type="pct"/>
          </w:tcPr>
          <w:p w14:paraId="130DF699" w14:textId="17BE023E" w:rsidR="005F0ED0" w:rsidRPr="00224BDD" w:rsidRDefault="008D09CE">
            <w:pPr>
              <w:rPr>
                <w:bCs/>
                <w:sz w:val="16"/>
                <w:szCs w:val="16"/>
              </w:rPr>
            </w:pPr>
            <w:r>
              <w:rPr>
                <w:bCs/>
                <w:sz w:val="16"/>
                <w:szCs w:val="16"/>
              </w:rPr>
              <w:t>MC</w:t>
            </w:r>
          </w:p>
        </w:tc>
        <w:tc>
          <w:tcPr>
            <w:tcW w:w="374" w:type="pct"/>
          </w:tcPr>
          <w:p w14:paraId="19BA0641" w14:textId="713A558D" w:rsidR="005F0ED0" w:rsidRPr="00224BDD" w:rsidRDefault="008D09CE">
            <w:pPr>
              <w:rPr>
                <w:bCs/>
                <w:sz w:val="16"/>
                <w:szCs w:val="16"/>
              </w:rPr>
            </w:pPr>
            <w:r>
              <w:rPr>
                <w:bCs/>
                <w:sz w:val="16"/>
                <w:szCs w:val="16"/>
              </w:rPr>
              <w:t>25.2.26</w:t>
            </w:r>
          </w:p>
        </w:tc>
        <w:tc>
          <w:tcPr>
            <w:tcW w:w="287" w:type="pct"/>
          </w:tcPr>
          <w:p w14:paraId="108EA7B6" w14:textId="66F1A435" w:rsidR="005F0ED0" w:rsidRPr="00224BDD" w:rsidRDefault="008D09CE">
            <w:pPr>
              <w:rPr>
                <w:bCs/>
                <w:sz w:val="16"/>
                <w:szCs w:val="16"/>
              </w:rPr>
            </w:pPr>
            <w:r>
              <w:rPr>
                <w:bCs/>
                <w:sz w:val="16"/>
                <w:szCs w:val="16"/>
              </w:rPr>
              <w:t>NO</w:t>
            </w:r>
          </w:p>
        </w:tc>
        <w:tc>
          <w:tcPr>
            <w:tcW w:w="1488" w:type="pct"/>
          </w:tcPr>
          <w:p w14:paraId="4BC49828" w14:textId="39A3206E" w:rsidR="005F0ED0" w:rsidRPr="00224BDD" w:rsidRDefault="008D09CE">
            <w:pPr>
              <w:rPr>
                <w:bCs/>
                <w:sz w:val="16"/>
                <w:szCs w:val="16"/>
              </w:rPr>
            </w:pPr>
            <w:hyperlink r:id="rId35" w:history="1">
              <w:r w:rsidRPr="00A72127">
                <w:rPr>
                  <w:rStyle w:val="Hyperlink"/>
                  <w:bCs/>
                  <w:sz w:val="16"/>
                  <w:szCs w:val="16"/>
                </w:rPr>
                <w:t>Transport Scotland Regional Bus Fare Cap Pilot</w:t>
              </w:r>
            </w:hyperlink>
          </w:p>
        </w:tc>
        <w:tc>
          <w:tcPr>
            <w:tcW w:w="2477" w:type="pct"/>
          </w:tcPr>
          <w:p w14:paraId="0A83D720" w14:textId="77777777" w:rsidR="005F0ED0" w:rsidRDefault="00A72127">
            <w:pPr>
              <w:rPr>
                <w:sz w:val="16"/>
                <w:szCs w:val="16"/>
              </w:rPr>
            </w:pPr>
            <w:r w:rsidRPr="00A72127">
              <w:rPr>
                <w:sz w:val="16"/>
                <w:szCs w:val="16"/>
              </w:rPr>
              <w:t>IIA attached as Appendix 1. Potential for those fare paying customers on limited budgets in the age group 22 – 59 who are not covered by the Scottish National Entitlement Card concessions being denied access to the pilot fares cap.</w:t>
            </w:r>
          </w:p>
          <w:p w14:paraId="500E025C" w14:textId="01C41AF9" w:rsidR="009A1693" w:rsidRPr="00A72127" w:rsidRDefault="009A1693">
            <w:pPr>
              <w:rPr>
                <w:bCs/>
                <w:sz w:val="16"/>
                <w:szCs w:val="16"/>
              </w:rPr>
            </w:pPr>
          </w:p>
        </w:tc>
      </w:tr>
      <w:tr w:rsidR="005F0ED0" w:rsidRPr="00224BDD" w14:paraId="03BB9E01" w14:textId="77777777" w:rsidTr="00D325E3">
        <w:tc>
          <w:tcPr>
            <w:tcW w:w="373" w:type="pct"/>
          </w:tcPr>
          <w:p w14:paraId="54346573" w14:textId="0D467FC1" w:rsidR="005F0ED0" w:rsidRPr="00224BDD" w:rsidRDefault="009A1693">
            <w:pPr>
              <w:rPr>
                <w:bCs/>
                <w:sz w:val="16"/>
                <w:szCs w:val="16"/>
              </w:rPr>
            </w:pPr>
            <w:r>
              <w:rPr>
                <w:bCs/>
                <w:sz w:val="16"/>
                <w:szCs w:val="16"/>
              </w:rPr>
              <w:lastRenderedPageBreak/>
              <w:t>ED&amp;I</w:t>
            </w:r>
          </w:p>
        </w:tc>
        <w:tc>
          <w:tcPr>
            <w:tcW w:w="374" w:type="pct"/>
          </w:tcPr>
          <w:p w14:paraId="7924C5DD" w14:textId="756FC733" w:rsidR="005F0ED0" w:rsidRPr="00224BDD" w:rsidRDefault="009A1693">
            <w:pPr>
              <w:rPr>
                <w:bCs/>
                <w:sz w:val="16"/>
                <w:szCs w:val="16"/>
              </w:rPr>
            </w:pPr>
            <w:r>
              <w:rPr>
                <w:bCs/>
                <w:sz w:val="16"/>
                <w:szCs w:val="16"/>
              </w:rPr>
              <w:t>10.3.26</w:t>
            </w:r>
          </w:p>
        </w:tc>
        <w:tc>
          <w:tcPr>
            <w:tcW w:w="287" w:type="pct"/>
          </w:tcPr>
          <w:p w14:paraId="12C7AE5E" w14:textId="339802BC" w:rsidR="005F0ED0" w:rsidRPr="00224BDD" w:rsidRDefault="009A1693">
            <w:pPr>
              <w:rPr>
                <w:bCs/>
                <w:sz w:val="16"/>
                <w:szCs w:val="16"/>
              </w:rPr>
            </w:pPr>
            <w:r>
              <w:rPr>
                <w:bCs/>
                <w:sz w:val="16"/>
                <w:szCs w:val="16"/>
              </w:rPr>
              <w:t>NO</w:t>
            </w:r>
          </w:p>
        </w:tc>
        <w:tc>
          <w:tcPr>
            <w:tcW w:w="1488" w:type="pct"/>
          </w:tcPr>
          <w:p w14:paraId="0885154A" w14:textId="41616EFD" w:rsidR="005F0ED0" w:rsidRDefault="009A1693">
            <w:pPr>
              <w:rPr>
                <w:sz w:val="16"/>
                <w:szCs w:val="16"/>
              </w:rPr>
            </w:pPr>
            <w:hyperlink r:id="rId36" w:history="1">
              <w:r w:rsidRPr="009A1693">
                <w:rPr>
                  <w:rStyle w:val="Hyperlink"/>
                  <w:sz w:val="16"/>
                  <w:szCs w:val="16"/>
                </w:rPr>
                <w:t>Update on Burial and Cremation (Scotland) Act 2016 - Exclusive right of burial and headstone inspections</w:t>
              </w:r>
            </w:hyperlink>
          </w:p>
          <w:p w14:paraId="11790206" w14:textId="6554078E" w:rsidR="009A1693" w:rsidRPr="009A1693" w:rsidRDefault="009A1693">
            <w:pPr>
              <w:rPr>
                <w:bCs/>
                <w:sz w:val="16"/>
                <w:szCs w:val="16"/>
              </w:rPr>
            </w:pPr>
          </w:p>
        </w:tc>
        <w:tc>
          <w:tcPr>
            <w:tcW w:w="2477" w:type="pct"/>
          </w:tcPr>
          <w:p w14:paraId="6A4F6AA8" w14:textId="64F64661" w:rsidR="005F0ED0" w:rsidRPr="009A1693" w:rsidRDefault="009A1693">
            <w:pPr>
              <w:rPr>
                <w:bCs/>
                <w:sz w:val="16"/>
                <w:szCs w:val="16"/>
              </w:rPr>
            </w:pPr>
            <w:r w:rsidRPr="009A1693">
              <w:rPr>
                <w:sz w:val="16"/>
                <w:szCs w:val="16"/>
              </w:rPr>
              <w:t>An IIA has been completed and is shown in appendix 2.</w:t>
            </w:r>
          </w:p>
        </w:tc>
      </w:tr>
      <w:tr w:rsidR="005F0ED0" w:rsidRPr="00224BDD" w14:paraId="13F4035E" w14:textId="77777777" w:rsidTr="00D325E3">
        <w:tc>
          <w:tcPr>
            <w:tcW w:w="373" w:type="pct"/>
          </w:tcPr>
          <w:p w14:paraId="4D0F4194" w14:textId="0D12F98D" w:rsidR="005F0ED0" w:rsidRPr="00224BDD" w:rsidRDefault="009A1693">
            <w:pPr>
              <w:rPr>
                <w:bCs/>
                <w:sz w:val="16"/>
                <w:szCs w:val="16"/>
              </w:rPr>
            </w:pPr>
            <w:r>
              <w:rPr>
                <w:bCs/>
                <w:sz w:val="16"/>
                <w:szCs w:val="16"/>
              </w:rPr>
              <w:t>ED&amp;I</w:t>
            </w:r>
          </w:p>
        </w:tc>
        <w:tc>
          <w:tcPr>
            <w:tcW w:w="374" w:type="pct"/>
          </w:tcPr>
          <w:p w14:paraId="5D53B516" w14:textId="4E85CB78" w:rsidR="005F0ED0" w:rsidRPr="00224BDD" w:rsidRDefault="009A1693">
            <w:pPr>
              <w:rPr>
                <w:bCs/>
                <w:sz w:val="16"/>
                <w:szCs w:val="16"/>
              </w:rPr>
            </w:pPr>
            <w:r>
              <w:rPr>
                <w:bCs/>
                <w:sz w:val="16"/>
                <w:szCs w:val="16"/>
              </w:rPr>
              <w:t>10.3.26</w:t>
            </w:r>
          </w:p>
        </w:tc>
        <w:tc>
          <w:tcPr>
            <w:tcW w:w="287" w:type="pct"/>
          </w:tcPr>
          <w:p w14:paraId="6F570387" w14:textId="6F0D7323" w:rsidR="005F0ED0" w:rsidRPr="00224BDD" w:rsidRDefault="009A1693">
            <w:pPr>
              <w:rPr>
                <w:bCs/>
                <w:sz w:val="16"/>
                <w:szCs w:val="16"/>
              </w:rPr>
            </w:pPr>
            <w:r>
              <w:rPr>
                <w:bCs/>
                <w:sz w:val="16"/>
                <w:szCs w:val="16"/>
              </w:rPr>
              <w:t>NO</w:t>
            </w:r>
          </w:p>
        </w:tc>
        <w:tc>
          <w:tcPr>
            <w:tcW w:w="1488" w:type="pct"/>
          </w:tcPr>
          <w:p w14:paraId="782F3984" w14:textId="57A953E7" w:rsidR="005F0ED0" w:rsidRPr="00224BDD" w:rsidRDefault="009A1693">
            <w:pPr>
              <w:rPr>
                <w:bCs/>
                <w:sz w:val="16"/>
                <w:szCs w:val="16"/>
              </w:rPr>
            </w:pPr>
            <w:hyperlink r:id="rId37" w:history="1">
              <w:r w:rsidRPr="009A1693">
                <w:rPr>
                  <w:rStyle w:val="Hyperlink"/>
                  <w:bCs/>
                  <w:sz w:val="16"/>
                  <w:szCs w:val="16"/>
                </w:rPr>
                <w:t>Non Network Bridge Prioritisation</w:t>
              </w:r>
            </w:hyperlink>
          </w:p>
        </w:tc>
        <w:tc>
          <w:tcPr>
            <w:tcW w:w="2477" w:type="pct"/>
          </w:tcPr>
          <w:p w14:paraId="61AE22F0" w14:textId="77777777" w:rsidR="005F0ED0" w:rsidRDefault="009A1693">
            <w:pPr>
              <w:rPr>
                <w:sz w:val="16"/>
                <w:szCs w:val="16"/>
              </w:rPr>
            </w:pPr>
            <w:r w:rsidRPr="009A1693">
              <w:rPr>
                <w:sz w:val="16"/>
                <w:szCs w:val="16"/>
              </w:rPr>
              <w:t>The non-network bridges provide walking and cycling routes throughout Moray which affects social inclusion. An IIA is presented at APPENDIX B that highlights impacts, considerations and mitigation for equalities and socio economic duties as well as human rights and rights of the child.</w:t>
            </w:r>
          </w:p>
          <w:p w14:paraId="46BE7750" w14:textId="702FB599" w:rsidR="009A1693" w:rsidRPr="009A1693" w:rsidRDefault="009A1693">
            <w:pPr>
              <w:rPr>
                <w:bCs/>
                <w:sz w:val="16"/>
                <w:szCs w:val="16"/>
              </w:rPr>
            </w:pPr>
          </w:p>
        </w:tc>
      </w:tr>
      <w:tr w:rsidR="00F94325" w:rsidRPr="00224BDD" w14:paraId="231B8BB5" w14:textId="77777777" w:rsidTr="00D325E3">
        <w:tc>
          <w:tcPr>
            <w:tcW w:w="373" w:type="pct"/>
          </w:tcPr>
          <w:p w14:paraId="48A3FB97" w14:textId="78455EA4" w:rsidR="00F94325" w:rsidRDefault="00F94325">
            <w:pPr>
              <w:rPr>
                <w:bCs/>
                <w:sz w:val="16"/>
                <w:szCs w:val="16"/>
              </w:rPr>
            </w:pPr>
            <w:r>
              <w:rPr>
                <w:bCs/>
                <w:sz w:val="16"/>
                <w:szCs w:val="16"/>
              </w:rPr>
              <w:t>H&amp;CS</w:t>
            </w:r>
          </w:p>
        </w:tc>
        <w:tc>
          <w:tcPr>
            <w:tcW w:w="374" w:type="pct"/>
          </w:tcPr>
          <w:p w14:paraId="55F7B0BD" w14:textId="3E9F5740" w:rsidR="00F94325" w:rsidRDefault="00F94325">
            <w:pPr>
              <w:rPr>
                <w:bCs/>
                <w:sz w:val="16"/>
                <w:szCs w:val="16"/>
              </w:rPr>
            </w:pPr>
            <w:r>
              <w:rPr>
                <w:bCs/>
                <w:sz w:val="16"/>
                <w:szCs w:val="16"/>
              </w:rPr>
              <w:t>12.3.26</w:t>
            </w:r>
          </w:p>
        </w:tc>
        <w:tc>
          <w:tcPr>
            <w:tcW w:w="287" w:type="pct"/>
          </w:tcPr>
          <w:p w14:paraId="1A44172F" w14:textId="7F78D2D5" w:rsidR="00F94325" w:rsidRDefault="00F94325">
            <w:pPr>
              <w:rPr>
                <w:bCs/>
                <w:sz w:val="16"/>
                <w:szCs w:val="16"/>
              </w:rPr>
            </w:pPr>
            <w:r>
              <w:rPr>
                <w:bCs/>
                <w:sz w:val="16"/>
                <w:szCs w:val="16"/>
              </w:rPr>
              <w:t>NO</w:t>
            </w:r>
          </w:p>
        </w:tc>
        <w:tc>
          <w:tcPr>
            <w:tcW w:w="1488" w:type="pct"/>
          </w:tcPr>
          <w:p w14:paraId="413A155B" w14:textId="6221D5B5" w:rsidR="00F94325" w:rsidRDefault="00F94325">
            <w:pPr>
              <w:rPr>
                <w:bCs/>
                <w:sz w:val="16"/>
                <w:szCs w:val="16"/>
              </w:rPr>
            </w:pPr>
            <w:hyperlink r:id="rId38" w:history="1">
              <w:r w:rsidRPr="00F94325">
                <w:rPr>
                  <w:rStyle w:val="Hyperlink"/>
                  <w:bCs/>
                  <w:sz w:val="16"/>
                  <w:szCs w:val="16"/>
                </w:rPr>
                <w:t>Common Repairs Policy Review Update</w:t>
              </w:r>
            </w:hyperlink>
          </w:p>
        </w:tc>
        <w:tc>
          <w:tcPr>
            <w:tcW w:w="2477" w:type="pct"/>
          </w:tcPr>
          <w:p w14:paraId="64F05DA6" w14:textId="77777777" w:rsidR="00F94325" w:rsidRDefault="00F94325">
            <w:pPr>
              <w:rPr>
                <w:sz w:val="16"/>
                <w:szCs w:val="16"/>
              </w:rPr>
            </w:pPr>
            <w:r w:rsidRPr="00F94325">
              <w:rPr>
                <w:sz w:val="16"/>
                <w:szCs w:val="16"/>
              </w:rPr>
              <w:t>The Integrated Impact Assessment (IIA) attached at APPENDIX III has been revised to include the consultation outcome which has informed the final policy development. No new impacts have been identified because of the consultation feedback. The IIA determines that the mitigations are realistic and reasonable in terms of the policy revisions and will address any potential inequality and / or disadvantage.</w:t>
            </w:r>
          </w:p>
          <w:p w14:paraId="6C520F22" w14:textId="32E75C39" w:rsidR="00F94325" w:rsidRPr="00F94325" w:rsidRDefault="00F94325">
            <w:pPr>
              <w:rPr>
                <w:sz w:val="16"/>
                <w:szCs w:val="16"/>
              </w:rPr>
            </w:pPr>
          </w:p>
        </w:tc>
      </w:tr>
      <w:tr w:rsidR="00F94325" w:rsidRPr="00224BDD" w14:paraId="27AA2147" w14:textId="77777777" w:rsidTr="00D325E3">
        <w:tc>
          <w:tcPr>
            <w:tcW w:w="373" w:type="pct"/>
          </w:tcPr>
          <w:p w14:paraId="705FF2E8" w14:textId="4F2589CC" w:rsidR="00F94325" w:rsidRDefault="00F94325">
            <w:pPr>
              <w:rPr>
                <w:bCs/>
                <w:sz w:val="16"/>
                <w:szCs w:val="16"/>
              </w:rPr>
            </w:pPr>
            <w:r>
              <w:rPr>
                <w:bCs/>
                <w:sz w:val="16"/>
                <w:szCs w:val="16"/>
              </w:rPr>
              <w:t>H&amp;CS</w:t>
            </w:r>
          </w:p>
        </w:tc>
        <w:tc>
          <w:tcPr>
            <w:tcW w:w="374" w:type="pct"/>
          </w:tcPr>
          <w:p w14:paraId="2BF690AA" w14:textId="4639EC20" w:rsidR="00F94325" w:rsidRDefault="00F94325">
            <w:pPr>
              <w:rPr>
                <w:bCs/>
                <w:sz w:val="16"/>
                <w:szCs w:val="16"/>
              </w:rPr>
            </w:pPr>
            <w:r>
              <w:rPr>
                <w:bCs/>
                <w:sz w:val="16"/>
                <w:szCs w:val="16"/>
              </w:rPr>
              <w:t>12.3.26</w:t>
            </w:r>
          </w:p>
        </w:tc>
        <w:tc>
          <w:tcPr>
            <w:tcW w:w="287" w:type="pct"/>
          </w:tcPr>
          <w:p w14:paraId="2D189044" w14:textId="07324122" w:rsidR="00F94325" w:rsidRDefault="00F94325">
            <w:pPr>
              <w:rPr>
                <w:bCs/>
                <w:sz w:val="16"/>
                <w:szCs w:val="16"/>
              </w:rPr>
            </w:pPr>
            <w:r>
              <w:rPr>
                <w:bCs/>
                <w:sz w:val="16"/>
                <w:szCs w:val="16"/>
              </w:rPr>
              <w:t>NO</w:t>
            </w:r>
          </w:p>
        </w:tc>
        <w:tc>
          <w:tcPr>
            <w:tcW w:w="1488" w:type="pct"/>
          </w:tcPr>
          <w:p w14:paraId="2263579F" w14:textId="3F8DE5AC" w:rsidR="00F94325" w:rsidRDefault="00F94325">
            <w:pPr>
              <w:rPr>
                <w:bCs/>
                <w:sz w:val="16"/>
                <w:szCs w:val="16"/>
              </w:rPr>
            </w:pPr>
            <w:hyperlink r:id="rId39" w:history="1">
              <w:r w:rsidRPr="00F94325">
                <w:rPr>
                  <w:rStyle w:val="Hyperlink"/>
                  <w:bCs/>
                  <w:sz w:val="16"/>
                  <w:szCs w:val="16"/>
                </w:rPr>
                <w:t>Domestic Abuse Policy – Consultation Results</w:t>
              </w:r>
            </w:hyperlink>
          </w:p>
        </w:tc>
        <w:tc>
          <w:tcPr>
            <w:tcW w:w="2477" w:type="pct"/>
          </w:tcPr>
          <w:p w14:paraId="709E5CAA" w14:textId="71D41B8A" w:rsidR="00F94325" w:rsidRPr="00F94325" w:rsidRDefault="00F94325">
            <w:pPr>
              <w:rPr>
                <w:sz w:val="16"/>
                <w:szCs w:val="16"/>
              </w:rPr>
            </w:pPr>
            <w:r w:rsidRPr="00F94325">
              <w:rPr>
                <w:sz w:val="16"/>
                <w:szCs w:val="16"/>
              </w:rPr>
              <w:t>An IIA was developed as part of the initial draft policy development. The IIA has been further revised following the consultation period to reflect the feedback received and is attached at APPENDIX III. The potential negative impacts identified can be mitigated.</w:t>
            </w:r>
          </w:p>
          <w:p w14:paraId="58253D36" w14:textId="77777777" w:rsidR="00F94325" w:rsidRPr="00F94325" w:rsidRDefault="00F94325">
            <w:pPr>
              <w:rPr>
                <w:sz w:val="16"/>
                <w:szCs w:val="16"/>
              </w:rPr>
            </w:pPr>
          </w:p>
        </w:tc>
      </w:tr>
    </w:tbl>
    <w:p w14:paraId="531B70FC" w14:textId="77777777" w:rsidR="00ED7708" w:rsidRPr="00770560" w:rsidRDefault="00ED7708" w:rsidP="00666C6E">
      <w:pPr>
        <w:rPr>
          <w:b/>
          <w:sz w:val="16"/>
          <w:szCs w:val="16"/>
        </w:rPr>
      </w:pPr>
    </w:p>
    <w:sectPr w:rsidR="00ED7708" w:rsidRPr="00770560" w:rsidSect="00557934">
      <w:pgSz w:w="16838" w:h="11906" w:orient="landscape"/>
      <w:pgMar w:top="709" w:right="820"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EBECC" w14:textId="77777777" w:rsidR="00E7012C" w:rsidRDefault="00E7012C" w:rsidP="008228A9">
      <w:pPr>
        <w:spacing w:after="0" w:line="240" w:lineRule="auto"/>
      </w:pPr>
      <w:r>
        <w:separator/>
      </w:r>
    </w:p>
  </w:endnote>
  <w:endnote w:type="continuationSeparator" w:id="0">
    <w:p w14:paraId="497C6E40" w14:textId="77777777" w:rsidR="00E7012C" w:rsidRDefault="00E7012C" w:rsidP="008228A9">
      <w:pPr>
        <w:spacing w:after="0" w:line="240" w:lineRule="auto"/>
      </w:pPr>
      <w:r>
        <w:continuationSeparator/>
      </w:r>
    </w:p>
  </w:endnote>
  <w:endnote w:type="continuationNotice" w:id="1">
    <w:p w14:paraId="6B277508" w14:textId="77777777" w:rsidR="00E7012C" w:rsidRDefault="00E701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neric0-Regular">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5142D" w14:textId="77777777" w:rsidR="00E7012C" w:rsidRDefault="00E7012C" w:rsidP="008228A9">
      <w:pPr>
        <w:spacing w:after="0" w:line="240" w:lineRule="auto"/>
      </w:pPr>
      <w:r>
        <w:separator/>
      </w:r>
    </w:p>
  </w:footnote>
  <w:footnote w:type="continuationSeparator" w:id="0">
    <w:p w14:paraId="753C6337" w14:textId="77777777" w:rsidR="00E7012C" w:rsidRDefault="00E7012C" w:rsidP="008228A9">
      <w:pPr>
        <w:spacing w:after="0" w:line="240" w:lineRule="auto"/>
      </w:pPr>
      <w:r>
        <w:continuationSeparator/>
      </w:r>
    </w:p>
  </w:footnote>
  <w:footnote w:type="continuationNotice" w:id="1">
    <w:p w14:paraId="18142733" w14:textId="77777777" w:rsidR="00E7012C" w:rsidRDefault="00E7012C">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934"/>
    <w:rsid w:val="00005424"/>
    <w:rsid w:val="00005E0E"/>
    <w:rsid w:val="00006756"/>
    <w:rsid w:val="00011D4C"/>
    <w:rsid w:val="00027D7C"/>
    <w:rsid w:val="000418FD"/>
    <w:rsid w:val="00064A24"/>
    <w:rsid w:val="0006668A"/>
    <w:rsid w:val="00077688"/>
    <w:rsid w:val="000957D9"/>
    <w:rsid w:val="000A36E3"/>
    <w:rsid w:val="000B02FF"/>
    <w:rsid w:val="000C79CD"/>
    <w:rsid w:val="000F056C"/>
    <w:rsid w:val="001038D1"/>
    <w:rsid w:val="00105AB3"/>
    <w:rsid w:val="001214B6"/>
    <w:rsid w:val="001310BE"/>
    <w:rsid w:val="00162548"/>
    <w:rsid w:val="001B6D80"/>
    <w:rsid w:val="001C4B37"/>
    <w:rsid w:val="001C6386"/>
    <w:rsid w:val="001C6E75"/>
    <w:rsid w:val="0021023C"/>
    <w:rsid w:val="0021292B"/>
    <w:rsid w:val="00220A4A"/>
    <w:rsid w:val="00223ABD"/>
    <w:rsid w:val="00224BDD"/>
    <w:rsid w:val="00227E74"/>
    <w:rsid w:val="0023549E"/>
    <w:rsid w:val="00264283"/>
    <w:rsid w:val="002D16B2"/>
    <w:rsid w:val="00310F3A"/>
    <w:rsid w:val="00341763"/>
    <w:rsid w:val="00352758"/>
    <w:rsid w:val="003955C1"/>
    <w:rsid w:val="003A1EF3"/>
    <w:rsid w:val="003F1E17"/>
    <w:rsid w:val="00423250"/>
    <w:rsid w:val="00437344"/>
    <w:rsid w:val="00437E4C"/>
    <w:rsid w:val="0045619A"/>
    <w:rsid w:val="004A583F"/>
    <w:rsid w:val="004B3BCD"/>
    <w:rsid w:val="004E0048"/>
    <w:rsid w:val="004F2D16"/>
    <w:rsid w:val="00502095"/>
    <w:rsid w:val="00502263"/>
    <w:rsid w:val="0050441C"/>
    <w:rsid w:val="005169D1"/>
    <w:rsid w:val="00516AF0"/>
    <w:rsid w:val="005233F5"/>
    <w:rsid w:val="00525627"/>
    <w:rsid w:val="00546CF0"/>
    <w:rsid w:val="00552A91"/>
    <w:rsid w:val="00557934"/>
    <w:rsid w:val="00566FB1"/>
    <w:rsid w:val="005A0967"/>
    <w:rsid w:val="005B4EE4"/>
    <w:rsid w:val="005C507A"/>
    <w:rsid w:val="005D2655"/>
    <w:rsid w:val="005D46BA"/>
    <w:rsid w:val="005D479D"/>
    <w:rsid w:val="005E18A4"/>
    <w:rsid w:val="005F0ED0"/>
    <w:rsid w:val="00607755"/>
    <w:rsid w:val="00611FF0"/>
    <w:rsid w:val="00632459"/>
    <w:rsid w:val="00633054"/>
    <w:rsid w:val="00636B33"/>
    <w:rsid w:val="00637008"/>
    <w:rsid w:val="00666C6E"/>
    <w:rsid w:val="0068079C"/>
    <w:rsid w:val="00693488"/>
    <w:rsid w:val="006D16E1"/>
    <w:rsid w:val="006D16E2"/>
    <w:rsid w:val="006D5FCC"/>
    <w:rsid w:val="006E4EE7"/>
    <w:rsid w:val="006F6686"/>
    <w:rsid w:val="0070727D"/>
    <w:rsid w:val="007128ED"/>
    <w:rsid w:val="0071462F"/>
    <w:rsid w:val="007622C6"/>
    <w:rsid w:val="00770560"/>
    <w:rsid w:val="00787966"/>
    <w:rsid w:val="00790A20"/>
    <w:rsid w:val="007912B0"/>
    <w:rsid w:val="00795A57"/>
    <w:rsid w:val="007A3690"/>
    <w:rsid w:val="007D666B"/>
    <w:rsid w:val="007E74F1"/>
    <w:rsid w:val="007F2FBC"/>
    <w:rsid w:val="007F43AE"/>
    <w:rsid w:val="00813881"/>
    <w:rsid w:val="008210ED"/>
    <w:rsid w:val="008228A9"/>
    <w:rsid w:val="00824E2E"/>
    <w:rsid w:val="00856339"/>
    <w:rsid w:val="008712DD"/>
    <w:rsid w:val="00876026"/>
    <w:rsid w:val="008863F5"/>
    <w:rsid w:val="008A16ED"/>
    <w:rsid w:val="008B2DB7"/>
    <w:rsid w:val="008C3D24"/>
    <w:rsid w:val="008D09CE"/>
    <w:rsid w:val="00902E79"/>
    <w:rsid w:val="00911B11"/>
    <w:rsid w:val="00932B6C"/>
    <w:rsid w:val="009421F0"/>
    <w:rsid w:val="00960DC5"/>
    <w:rsid w:val="00962FC3"/>
    <w:rsid w:val="0096536D"/>
    <w:rsid w:val="009A1693"/>
    <w:rsid w:val="009B4BFF"/>
    <w:rsid w:val="009B5680"/>
    <w:rsid w:val="009B57A8"/>
    <w:rsid w:val="009D473E"/>
    <w:rsid w:val="009E309A"/>
    <w:rsid w:val="009F59F5"/>
    <w:rsid w:val="00A26141"/>
    <w:rsid w:val="00A41F84"/>
    <w:rsid w:val="00A56BBC"/>
    <w:rsid w:val="00A72127"/>
    <w:rsid w:val="00A76A39"/>
    <w:rsid w:val="00A83047"/>
    <w:rsid w:val="00AA5869"/>
    <w:rsid w:val="00AB0B1B"/>
    <w:rsid w:val="00AB1A37"/>
    <w:rsid w:val="00AC6722"/>
    <w:rsid w:val="00AE32B3"/>
    <w:rsid w:val="00AF117D"/>
    <w:rsid w:val="00B0108E"/>
    <w:rsid w:val="00B16093"/>
    <w:rsid w:val="00B16363"/>
    <w:rsid w:val="00B25979"/>
    <w:rsid w:val="00B3511C"/>
    <w:rsid w:val="00B442C4"/>
    <w:rsid w:val="00B663D9"/>
    <w:rsid w:val="00B71ADF"/>
    <w:rsid w:val="00B87517"/>
    <w:rsid w:val="00BC0655"/>
    <w:rsid w:val="00BC2B1E"/>
    <w:rsid w:val="00BD3881"/>
    <w:rsid w:val="00BF5673"/>
    <w:rsid w:val="00C24E53"/>
    <w:rsid w:val="00C336A7"/>
    <w:rsid w:val="00C42D71"/>
    <w:rsid w:val="00C73DD9"/>
    <w:rsid w:val="00C9003D"/>
    <w:rsid w:val="00C9148B"/>
    <w:rsid w:val="00C9586A"/>
    <w:rsid w:val="00CA5584"/>
    <w:rsid w:val="00CB5055"/>
    <w:rsid w:val="00CE3956"/>
    <w:rsid w:val="00CE3D70"/>
    <w:rsid w:val="00D05417"/>
    <w:rsid w:val="00D063AA"/>
    <w:rsid w:val="00D12239"/>
    <w:rsid w:val="00D12ED2"/>
    <w:rsid w:val="00D325E3"/>
    <w:rsid w:val="00D339B0"/>
    <w:rsid w:val="00D37A6A"/>
    <w:rsid w:val="00D4033A"/>
    <w:rsid w:val="00D61AC0"/>
    <w:rsid w:val="00D758A0"/>
    <w:rsid w:val="00D97361"/>
    <w:rsid w:val="00DB61B8"/>
    <w:rsid w:val="00DC7845"/>
    <w:rsid w:val="00DE187A"/>
    <w:rsid w:val="00E4001A"/>
    <w:rsid w:val="00E4161F"/>
    <w:rsid w:val="00E5174B"/>
    <w:rsid w:val="00E7012C"/>
    <w:rsid w:val="00E7067D"/>
    <w:rsid w:val="00EA377C"/>
    <w:rsid w:val="00EA41F2"/>
    <w:rsid w:val="00EB6530"/>
    <w:rsid w:val="00EC0459"/>
    <w:rsid w:val="00ED7708"/>
    <w:rsid w:val="00F212A5"/>
    <w:rsid w:val="00F24933"/>
    <w:rsid w:val="00F417CD"/>
    <w:rsid w:val="00F43764"/>
    <w:rsid w:val="00F4470B"/>
    <w:rsid w:val="00F52283"/>
    <w:rsid w:val="00F54276"/>
    <w:rsid w:val="00F56C6B"/>
    <w:rsid w:val="00F60A77"/>
    <w:rsid w:val="00F61F07"/>
    <w:rsid w:val="00F74FFF"/>
    <w:rsid w:val="00F94325"/>
    <w:rsid w:val="00FA7F4A"/>
    <w:rsid w:val="00FC17E3"/>
    <w:rsid w:val="00FC4BA3"/>
    <w:rsid w:val="00FE103E"/>
    <w:rsid w:val="00FE35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CF7FB"/>
  <w15:chartTrackingRefBased/>
  <w15:docId w15:val="{9D6DC53F-B816-4E4D-AFA5-A661DC8F8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7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25E3"/>
    <w:rPr>
      <w:color w:val="0563C1" w:themeColor="hyperlink"/>
      <w:u w:val="single"/>
    </w:rPr>
  </w:style>
  <w:style w:type="character" w:styleId="FollowedHyperlink">
    <w:name w:val="FollowedHyperlink"/>
    <w:basedOn w:val="DefaultParagraphFont"/>
    <w:uiPriority w:val="99"/>
    <w:semiHidden/>
    <w:unhideWhenUsed/>
    <w:rsid w:val="00ED7708"/>
    <w:rPr>
      <w:color w:val="954F72" w:themeColor="followedHyperlink"/>
      <w:u w:val="single"/>
    </w:rPr>
  </w:style>
  <w:style w:type="paragraph" w:styleId="ListParagraph">
    <w:name w:val="List Paragraph"/>
    <w:basedOn w:val="Normal"/>
    <w:uiPriority w:val="34"/>
    <w:qFormat/>
    <w:rsid w:val="007F43AE"/>
    <w:pPr>
      <w:ind w:left="720"/>
      <w:contextualSpacing/>
    </w:pPr>
  </w:style>
  <w:style w:type="paragraph" w:styleId="Header">
    <w:name w:val="header"/>
    <w:basedOn w:val="Normal"/>
    <w:link w:val="HeaderChar"/>
    <w:uiPriority w:val="99"/>
    <w:unhideWhenUsed/>
    <w:rsid w:val="008228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28A9"/>
  </w:style>
  <w:style w:type="paragraph" w:styleId="Footer">
    <w:name w:val="footer"/>
    <w:basedOn w:val="Normal"/>
    <w:link w:val="FooterChar"/>
    <w:uiPriority w:val="99"/>
    <w:unhideWhenUsed/>
    <w:rsid w:val="008228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28A9"/>
  </w:style>
  <w:style w:type="character" w:customStyle="1" w:styleId="UnresolvedMention1">
    <w:name w:val="Unresolved Mention1"/>
    <w:basedOn w:val="DefaultParagraphFont"/>
    <w:uiPriority w:val="99"/>
    <w:semiHidden/>
    <w:unhideWhenUsed/>
    <w:rsid w:val="00502095"/>
    <w:rPr>
      <w:color w:val="605E5C"/>
      <w:shd w:val="clear" w:color="auto" w:fill="E1DFDD"/>
    </w:rPr>
  </w:style>
  <w:style w:type="character" w:customStyle="1" w:styleId="UnresolvedMention2">
    <w:name w:val="Unresolved Mention2"/>
    <w:basedOn w:val="DefaultParagraphFont"/>
    <w:uiPriority w:val="99"/>
    <w:semiHidden/>
    <w:unhideWhenUsed/>
    <w:rsid w:val="00220A4A"/>
    <w:rPr>
      <w:color w:val="605E5C"/>
      <w:shd w:val="clear" w:color="auto" w:fill="E1DFDD"/>
    </w:rPr>
  </w:style>
  <w:style w:type="character" w:customStyle="1" w:styleId="UnresolvedMention3">
    <w:name w:val="Unresolved Mention3"/>
    <w:basedOn w:val="DefaultParagraphFont"/>
    <w:uiPriority w:val="99"/>
    <w:semiHidden/>
    <w:unhideWhenUsed/>
    <w:rsid w:val="00DB61B8"/>
    <w:rPr>
      <w:color w:val="605E5C"/>
      <w:shd w:val="clear" w:color="auto" w:fill="E1DFDD"/>
    </w:rPr>
  </w:style>
  <w:style w:type="character" w:styleId="UnresolvedMention">
    <w:name w:val="Unresolved Mention"/>
    <w:basedOn w:val="DefaultParagraphFont"/>
    <w:uiPriority w:val="99"/>
    <w:semiHidden/>
    <w:unhideWhenUsed/>
    <w:rsid w:val="00341763"/>
    <w:rPr>
      <w:color w:val="605E5C"/>
      <w:shd w:val="clear" w:color="auto" w:fill="E1DFDD"/>
    </w:rPr>
  </w:style>
  <w:style w:type="paragraph" w:customStyle="1" w:styleId="Default">
    <w:name w:val="Default"/>
    <w:rsid w:val="009B5680"/>
    <w:pPr>
      <w:autoSpaceDE w:val="0"/>
      <w:autoSpaceDN w:val="0"/>
      <w:adjustRightInd w:val="0"/>
      <w:spacing w:after="0" w:line="240" w:lineRule="auto"/>
    </w:pPr>
    <w:rPr>
      <w:rFonts w:ascii="Generic0-Regular" w:hAnsi="Generic0-Regular" w:cs="Generic0-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6844">
      <w:bodyDiv w:val="1"/>
      <w:marLeft w:val="0"/>
      <w:marRight w:val="0"/>
      <w:marTop w:val="0"/>
      <w:marBottom w:val="0"/>
      <w:divBdr>
        <w:top w:val="none" w:sz="0" w:space="0" w:color="auto"/>
        <w:left w:val="none" w:sz="0" w:space="0" w:color="auto"/>
        <w:bottom w:val="none" w:sz="0" w:space="0" w:color="auto"/>
        <w:right w:val="none" w:sz="0" w:space="0" w:color="auto"/>
      </w:divBdr>
    </w:div>
    <w:div w:id="18237436">
      <w:bodyDiv w:val="1"/>
      <w:marLeft w:val="0"/>
      <w:marRight w:val="0"/>
      <w:marTop w:val="0"/>
      <w:marBottom w:val="0"/>
      <w:divBdr>
        <w:top w:val="none" w:sz="0" w:space="0" w:color="auto"/>
        <w:left w:val="none" w:sz="0" w:space="0" w:color="auto"/>
        <w:bottom w:val="none" w:sz="0" w:space="0" w:color="auto"/>
        <w:right w:val="none" w:sz="0" w:space="0" w:color="auto"/>
      </w:divBdr>
    </w:div>
    <w:div w:id="34938860">
      <w:bodyDiv w:val="1"/>
      <w:marLeft w:val="0"/>
      <w:marRight w:val="0"/>
      <w:marTop w:val="0"/>
      <w:marBottom w:val="0"/>
      <w:divBdr>
        <w:top w:val="none" w:sz="0" w:space="0" w:color="auto"/>
        <w:left w:val="none" w:sz="0" w:space="0" w:color="auto"/>
        <w:bottom w:val="none" w:sz="0" w:space="0" w:color="auto"/>
        <w:right w:val="none" w:sz="0" w:space="0" w:color="auto"/>
      </w:divBdr>
    </w:div>
    <w:div w:id="97216009">
      <w:bodyDiv w:val="1"/>
      <w:marLeft w:val="0"/>
      <w:marRight w:val="0"/>
      <w:marTop w:val="0"/>
      <w:marBottom w:val="0"/>
      <w:divBdr>
        <w:top w:val="none" w:sz="0" w:space="0" w:color="auto"/>
        <w:left w:val="none" w:sz="0" w:space="0" w:color="auto"/>
        <w:bottom w:val="none" w:sz="0" w:space="0" w:color="auto"/>
        <w:right w:val="none" w:sz="0" w:space="0" w:color="auto"/>
      </w:divBdr>
    </w:div>
    <w:div w:id="168907393">
      <w:bodyDiv w:val="1"/>
      <w:marLeft w:val="0"/>
      <w:marRight w:val="0"/>
      <w:marTop w:val="0"/>
      <w:marBottom w:val="0"/>
      <w:divBdr>
        <w:top w:val="none" w:sz="0" w:space="0" w:color="auto"/>
        <w:left w:val="none" w:sz="0" w:space="0" w:color="auto"/>
        <w:bottom w:val="none" w:sz="0" w:space="0" w:color="auto"/>
        <w:right w:val="none" w:sz="0" w:space="0" w:color="auto"/>
      </w:divBdr>
    </w:div>
    <w:div w:id="220291642">
      <w:bodyDiv w:val="1"/>
      <w:marLeft w:val="0"/>
      <w:marRight w:val="0"/>
      <w:marTop w:val="0"/>
      <w:marBottom w:val="0"/>
      <w:divBdr>
        <w:top w:val="none" w:sz="0" w:space="0" w:color="auto"/>
        <w:left w:val="none" w:sz="0" w:space="0" w:color="auto"/>
        <w:bottom w:val="none" w:sz="0" w:space="0" w:color="auto"/>
        <w:right w:val="none" w:sz="0" w:space="0" w:color="auto"/>
      </w:divBdr>
    </w:div>
    <w:div w:id="221908806">
      <w:bodyDiv w:val="1"/>
      <w:marLeft w:val="0"/>
      <w:marRight w:val="0"/>
      <w:marTop w:val="0"/>
      <w:marBottom w:val="0"/>
      <w:divBdr>
        <w:top w:val="none" w:sz="0" w:space="0" w:color="auto"/>
        <w:left w:val="none" w:sz="0" w:space="0" w:color="auto"/>
        <w:bottom w:val="none" w:sz="0" w:space="0" w:color="auto"/>
        <w:right w:val="none" w:sz="0" w:space="0" w:color="auto"/>
      </w:divBdr>
    </w:div>
    <w:div w:id="223109174">
      <w:bodyDiv w:val="1"/>
      <w:marLeft w:val="0"/>
      <w:marRight w:val="0"/>
      <w:marTop w:val="0"/>
      <w:marBottom w:val="0"/>
      <w:divBdr>
        <w:top w:val="none" w:sz="0" w:space="0" w:color="auto"/>
        <w:left w:val="none" w:sz="0" w:space="0" w:color="auto"/>
        <w:bottom w:val="none" w:sz="0" w:space="0" w:color="auto"/>
        <w:right w:val="none" w:sz="0" w:space="0" w:color="auto"/>
      </w:divBdr>
    </w:div>
    <w:div w:id="268199425">
      <w:bodyDiv w:val="1"/>
      <w:marLeft w:val="0"/>
      <w:marRight w:val="0"/>
      <w:marTop w:val="0"/>
      <w:marBottom w:val="0"/>
      <w:divBdr>
        <w:top w:val="none" w:sz="0" w:space="0" w:color="auto"/>
        <w:left w:val="none" w:sz="0" w:space="0" w:color="auto"/>
        <w:bottom w:val="none" w:sz="0" w:space="0" w:color="auto"/>
        <w:right w:val="none" w:sz="0" w:space="0" w:color="auto"/>
      </w:divBdr>
    </w:div>
    <w:div w:id="298805181">
      <w:bodyDiv w:val="1"/>
      <w:marLeft w:val="0"/>
      <w:marRight w:val="0"/>
      <w:marTop w:val="0"/>
      <w:marBottom w:val="0"/>
      <w:divBdr>
        <w:top w:val="none" w:sz="0" w:space="0" w:color="auto"/>
        <w:left w:val="none" w:sz="0" w:space="0" w:color="auto"/>
        <w:bottom w:val="none" w:sz="0" w:space="0" w:color="auto"/>
        <w:right w:val="none" w:sz="0" w:space="0" w:color="auto"/>
      </w:divBdr>
    </w:div>
    <w:div w:id="301233595">
      <w:bodyDiv w:val="1"/>
      <w:marLeft w:val="0"/>
      <w:marRight w:val="0"/>
      <w:marTop w:val="0"/>
      <w:marBottom w:val="0"/>
      <w:divBdr>
        <w:top w:val="none" w:sz="0" w:space="0" w:color="auto"/>
        <w:left w:val="none" w:sz="0" w:space="0" w:color="auto"/>
        <w:bottom w:val="none" w:sz="0" w:space="0" w:color="auto"/>
        <w:right w:val="none" w:sz="0" w:space="0" w:color="auto"/>
      </w:divBdr>
    </w:div>
    <w:div w:id="333190592">
      <w:bodyDiv w:val="1"/>
      <w:marLeft w:val="0"/>
      <w:marRight w:val="0"/>
      <w:marTop w:val="0"/>
      <w:marBottom w:val="0"/>
      <w:divBdr>
        <w:top w:val="none" w:sz="0" w:space="0" w:color="auto"/>
        <w:left w:val="none" w:sz="0" w:space="0" w:color="auto"/>
        <w:bottom w:val="none" w:sz="0" w:space="0" w:color="auto"/>
        <w:right w:val="none" w:sz="0" w:space="0" w:color="auto"/>
      </w:divBdr>
    </w:div>
    <w:div w:id="416945201">
      <w:bodyDiv w:val="1"/>
      <w:marLeft w:val="0"/>
      <w:marRight w:val="0"/>
      <w:marTop w:val="0"/>
      <w:marBottom w:val="0"/>
      <w:divBdr>
        <w:top w:val="none" w:sz="0" w:space="0" w:color="auto"/>
        <w:left w:val="none" w:sz="0" w:space="0" w:color="auto"/>
        <w:bottom w:val="none" w:sz="0" w:space="0" w:color="auto"/>
        <w:right w:val="none" w:sz="0" w:space="0" w:color="auto"/>
      </w:divBdr>
    </w:div>
    <w:div w:id="442845373">
      <w:bodyDiv w:val="1"/>
      <w:marLeft w:val="0"/>
      <w:marRight w:val="0"/>
      <w:marTop w:val="0"/>
      <w:marBottom w:val="0"/>
      <w:divBdr>
        <w:top w:val="none" w:sz="0" w:space="0" w:color="auto"/>
        <w:left w:val="none" w:sz="0" w:space="0" w:color="auto"/>
        <w:bottom w:val="none" w:sz="0" w:space="0" w:color="auto"/>
        <w:right w:val="none" w:sz="0" w:space="0" w:color="auto"/>
      </w:divBdr>
    </w:div>
    <w:div w:id="449788416">
      <w:bodyDiv w:val="1"/>
      <w:marLeft w:val="0"/>
      <w:marRight w:val="0"/>
      <w:marTop w:val="0"/>
      <w:marBottom w:val="0"/>
      <w:divBdr>
        <w:top w:val="none" w:sz="0" w:space="0" w:color="auto"/>
        <w:left w:val="none" w:sz="0" w:space="0" w:color="auto"/>
        <w:bottom w:val="none" w:sz="0" w:space="0" w:color="auto"/>
        <w:right w:val="none" w:sz="0" w:space="0" w:color="auto"/>
      </w:divBdr>
    </w:div>
    <w:div w:id="454180954">
      <w:bodyDiv w:val="1"/>
      <w:marLeft w:val="0"/>
      <w:marRight w:val="0"/>
      <w:marTop w:val="0"/>
      <w:marBottom w:val="0"/>
      <w:divBdr>
        <w:top w:val="none" w:sz="0" w:space="0" w:color="auto"/>
        <w:left w:val="none" w:sz="0" w:space="0" w:color="auto"/>
        <w:bottom w:val="none" w:sz="0" w:space="0" w:color="auto"/>
        <w:right w:val="none" w:sz="0" w:space="0" w:color="auto"/>
      </w:divBdr>
    </w:div>
    <w:div w:id="515769452">
      <w:bodyDiv w:val="1"/>
      <w:marLeft w:val="0"/>
      <w:marRight w:val="0"/>
      <w:marTop w:val="0"/>
      <w:marBottom w:val="0"/>
      <w:divBdr>
        <w:top w:val="none" w:sz="0" w:space="0" w:color="auto"/>
        <w:left w:val="none" w:sz="0" w:space="0" w:color="auto"/>
        <w:bottom w:val="none" w:sz="0" w:space="0" w:color="auto"/>
        <w:right w:val="none" w:sz="0" w:space="0" w:color="auto"/>
      </w:divBdr>
    </w:div>
    <w:div w:id="524908573">
      <w:bodyDiv w:val="1"/>
      <w:marLeft w:val="0"/>
      <w:marRight w:val="0"/>
      <w:marTop w:val="0"/>
      <w:marBottom w:val="0"/>
      <w:divBdr>
        <w:top w:val="none" w:sz="0" w:space="0" w:color="auto"/>
        <w:left w:val="none" w:sz="0" w:space="0" w:color="auto"/>
        <w:bottom w:val="none" w:sz="0" w:space="0" w:color="auto"/>
        <w:right w:val="none" w:sz="0" w:space="0" w:color="auto"/>
      </w:divBdr>
    </w:div>
    <w:div w:id="537746837">
      <w:bodyDiv w:val="1"/>
      <w:marLeft w:val="0"/>
      <w:marRight w:val="0"/>
      <w:marTop w:val="0"/>
      <w:marBottom w:val="0"/>
      <w:divBdr>
        <w:top w:val="none" w:sz="0" w:space="0" w:color="auto"/>
        <w:left w:val="none" w:sz="0" w:space="0" w:color="auto"/>
        <w:bottom w:val="none" w:sz="0" w:space="0" w:color="auto"/>
        <w:right w:val="none" w:sz="0" w:space="0" w:color="auto"/>
      </w:divBdr>
    </w:div>
    <w:div w:id="629022026">
      <w:bodyDiv w:val="1"/>
      <w:marLeft w:val="0"/>
      <w:marRight w:val="0"/>
      <w:marTop w:val="0"/>
      <w:marBottom w:val="0"/>
      <w:divBdr>
        <w:top w:val="none" w:sz="0" w:space="0" w:color="auto"/>
        <w:left w:val="none" w:sz="0" w:space="0" w:color="auto"/>
        <w:bottom w:val="none" w:sz="0" w:space="0" w:color="auto"/>
        <w:right w:val="none" w:sz="0" w:space="0" w:color="auto"/>
      </w:divBdr>
    </w:div>
    <w:div w:id="667362395">
      <w:bodyDiv w:val="1"/>
      <w:marLeft w:val="0"/>
      <w:marRight w:val="0"/>
      <w:marTop w:val="0"/>
      <w:marBottom w:val="0"/>
      <w:divBdr>
        <w:top w:val="none" w:sz="0" w:space="0" w:color="auto"/>
        <w:left w:val="none" w:sz="0" w:space="0" w:color="auto"/>
        <w:bottom w:val="none" w:sz="0" w:space="0" w:color="auto"/>
        <w:right w:val="none" w:sz="0" w:space="0" w:color="auto"/>
      </w:divBdr>
    </w:div>
    <w:div w:id="802694341">
      <w:bodyDiv w:val="1"/>
      <w:marLeft w:val="0"/>
      <w:marRight w:val="0"/>
      <w:marTop w:val="0"/>
      <w:marBottom w:val="0"/>
      <w:divBdr>
        <w:top w:val="none" w:sz="0" w:space="0" w:color="auto"/>
        <w:left w:val="none" w:sz="0" w:space="0" w:color="auto"/>
        <w:bottom w:val="none" w:sz="0" w:space="0" w:color="auto"/>
        <w:right w:val="none" w:sz="0" w:space="0" w:color="auto"/>
      </w:divBdr>
    </w:div>
    <w:div w:id="905645003">
      <w:bodyDiv w:val="1"/>
      <w:marLeft w:val="0"/>
      <w:marRight w:val="0"/>
      <w:marTop w:val="0"/>
      <w:marBottom w:val="0"/>
      <w:divBdr>
        <w:top w:val="none" w:sz="0" w:space="0" w:color="auto"/>
        <w:left w:val="none" w:sz="0" w:space="0" w:color="auto"/>
        <w:bottom w:val="none" w:sz="0" w:space="0" w:color="auto"/>
        <w:right w:val="none" w:sz="0" w:space="0" w:color="auto"/>
      </w:divBdr>
    </w:div>
    <w:div w:id="926620057">
      <w:bodyDiv w:val="1"/>
      <w:marLeft w:val="0"/>
      <w:marRight w:val="0"/>
      <w:marTop w:val="0"/>
      <w:marBottom w:val="0"/>
      <w:divBdr>
        <w:top w:val="none" w:sz="0" w:space="0" w:color="auto"/>
        <w:left w:val="none" w:sz="0" w:space="0" w:color="auto"/>
        <w:bottom w:val="none" w:sz="0" w:space="0" w:color="auto"/>
        <w:right w:val="none" w:sz="0" w:space="0" w:color="auto"/>
      </w:divBdr>
    </w:div>
    <w:div w:id="949900788">
      <w:bodyDiv w:val="1"/>
      <w:marLeft w:val="0"/>
      <w:marRight w:val="0"/>
      <w:marTop w:val="0"/>
      <w:marBottom w:val="0"/>
      <w:divBdr>
        <w:top w:val="none" w:sz="0" w:space="0" w:color="auto"/>
        <w:left w:val="none" w:sz="0" w:space="0" w:color="auto"/>
        <w:bottom w:val="none" w:sz="0" w:space="0" w:color="auto"/>
        <w:right w:val="none" w:sz="0" w:space="0" w:color="auto"/>
      </w:divBdr>
    </w:div>
    <w:div w:id="954210056">
      <w:bodyDiv w:val="1"/>
      <w:marLeft w:val="0"/>
      <w:marRight w:val="0"/>
      <w:marTop w:val="0"/>
      <w:marBottom w:val="0"/>
      <w:divBdr>
        <w:top w:val="none" w:sz="0" w:space="0" w:color="auto"/>
        <w:left w:val="none" w:sz="0" w:space="0" w:color="auto"/>
        <w:bottom w:val="none" w:sz="0" w:space="0" w:color="auto"/>
        <w:right w:val="none" w:sz="0" w:space="0" w:color="auto"/>
      </w:divBdr>
    </w:div>
    <w:div w:id="978221528">
      <w:bodyDiv w:val="1"/>
      <w:marLeft w:val="0"/>
      <w:marRight w:val="0"/>
      <w:marTop w:val="0"/>
      <w:marBottom w:val="0"/>
      <w:divBdr>
        <w:top w:val="none" w:sz="0" w:space="0" w:color="auto"/>
        <w:left w:val="none" w:sz="0" w:space="0" w:color="auto"/>
        <w:bottom w:val="none" w:sz="0" w:space="0" w:color="auto"/>
        <w:right w:val="none" w:sz="0" w:space="0" w:color="auto"/>
      </w:divBdr>
    </w:div>
    <w:div w:id="991913322">
      <w:bodyDiv w:val="1"/>
      <w:marLeft w:val="0"/>
      <w:marRight w:val="0"/>
      <w:marTop w:val="0"/>
      <w:marBottom w:val="0"/>
      <w:divBdr>
        <w:top w:val="none" w:sz="0" w:space="0" w:color="auto"/>
        <w:left w:val="none" w:sz="0" w:space="0" w:color="auto"/>
        <w:bottom w:val="none" w:sz="0" w:space="0" w:color="auto"/>
        <w:right w:val="none" w:sz="0" w:space="0" w:color="auto"/>
      </w:divBdr>
    </w:div>
    <w:div w:id="1001204060">
      <w:bodyDiv w:val="1"/>
      <w:marLeft w:val="0"/>
      <w:marRight w:val="0"/>
      <w:marTop w:val="0"/>
      <w:marBottom w:val="0"/>
      <w:divBdr>
        <w:top w:val="none" w:sz="0" w:space="0" w:color="auto"/>
        <w:left w:val="none" w:sz="0" w:space="0" w:color="auto"/>
        <w:bottom w:val="none" w:sz="0" w:space="0" w:color="auto"/>
        <w:right w:val="none" w:sz="0" w:space="0" w:color="auto"/>
      </w:divBdr>
    </w:div>
    <w:div w:id="1014452898">
      <w:bodyDiv w:val="1"/>
      <w:marLeft w:val="0"/>
      <w:marRight w:val="0"/>
      <w:marTop w:val="0"/>
      <w:marBottom w:val="0"/>
      <w:divBdr>
        <w:top w:val="none" w:sz="0" w:space="0" w:color="auto"/>
        <w:left w:val="none" w:sz="0" w:space="0" w:color="auto"/>
        <w:bottom w:val="none" w:sz="0" w:space="0" w:color="auto"/>
        <w:right w:val="none" w:sz="0" w:space="0" w:color="auto"/>
      </w:divBdr>
    </w:div>
    <w:div w:id="1060054719">
      <w:bodyDiv w:val="1"/>
      <w:marLeft w:val="0"/>
      <w:marRight w:val="0"/>
      <w:marTop w:val="0"/>
      <w:marBottom w:val="0"/>
      <w:divBdr>
        <w:top w:val="none" w:sz="0" w:space="0" w:color="auto"/>
        <w:left w:val="none" w:sz="0" w:space="0" w:color="auto"/>
        <w:bottom w:val="none" w:sz="0" w:space="0" w:color="auto"/>
        <w:right w:val="none" w:sz="0" w:space="0" w:color="auto"/>
      </w:divBdr>
    </w:div>
    <w:div w:id="1068530288">
      <w:bodyDiv w:val="1"/>
      <w:marLeft w:val="0"/>
      <w:marRight w:val="0"/>
      <w:marTop w:val="0"/>
      <w:marBottom w:val="0"/>
      <w:divBdr>
        <w:top w:val="none" w:sz="0" w:space="0" w:color="auto"/>
        <w:left w:val="none" w:sz="0" w:space="0" w:color="auto"/>
        <w:bottom w:val="none" w:sz="0" w:space="0" w:color="auto"/>
        <w:right w:val="none" w:sz="0" w:space="0" w:color="auto"/>
      </w:divBdr>
    </w:div>
    <w:div w:id="1073432982">
      <w:bodyDiv w:val="1"/>
      <w:marLeft w:val="0"/>
      <w:marRight w:val="0"/>
      <w:marTop w:val="0"/>
      <w:marBottom w:val="0"/>
      <w:divBdr>
        <w:top w:val="none" w:sz="0" w:space="0" w:color="auto"/>
        <w:left w:val="none" w:sz="0" w:space="0" w:color="auto"/>
        <w:bottom w:val="none" w:sz="0" w:space="0" w:color="auto"/>
        <w:right w:val="none" w:sz="0" w:space="0" w:color="auto"/>
      </w:divBdr>
    </w:div>
    <w:div w:id="1090077953">
      <w:bodyDiv w:val="1"/>
      <w:marLeft w:val="0"/>
      <w:marRight w:val="0"/>
      <w:marTop w:val="0"/>
      <w:marBottom w:val="0"/>
      <w:divBdr>
        <w:top w:val="none" w:sz="0" w:space="0" w:color="auto"/>
        <w:left w:val="none" w:sz="0" w:space="0" w:color="auto"/>
        <w:bottom w:val="none" w:sz="0" w:space="0" w:color="auto"/>
        <w:right w:val="none" w:sz="0" w:space="0" w:color="auto"/>
      </w:divBdr>
    </w:div>
    <w:div w:id="1092122870">
      <w:bodyDiv w:val="1"/>
      <w:marLeft w:val="0"/>
      <w:marRight w:val="0"/>
      <w:marTop w:val="0"/>
      <w:marBottom w:val="0"/>
      <w:divBdr>
        <w:top w:val="none" w:sz="0" w:space="0" w:color="auto"/>
        <w:left w:val="none" w:sz="0" w:space="0" w:color="auto"/>
        <w:bottom w:val="none" w:sz="0" w:space="0" w:color="auto"/>
        <w:right w:val="none" w:sz="0" w:space="0" w:color="auto"/>
      </w:divBdr>
    </w:div>
    <w:div w:id="1098721993">
      <w:bodyDiv w:val="1"/>
      <w:marLeft w:val="0"/>
      <w:marRight w:val="0"/>
      <w:marTop w:val="0"/>
      <w:marBottom w:val="0"/>
      <w:divBdr>
        <w:top w:val="none" w:sz="0" w:space="0" w:color="auto"/>
        <w:left w:val="none" w:sz="0" w:space="0" w:color="auto"/>
        <w:bottom w:val="none" w:sz="0" w:space="0" w:color="auto"/>
        <w:right w:val="none" w:sz="0" w:space="0" w:color="auto"/>
      </w:divBdr>
    </w:div>
    <w:div w:id="1114906804">
      <w:bodyDiv w:val="1"/>
      <w:marLeft w:val="0"/>
      <w:marRight w:val="0"/>
      <w:marTop w:val="0"/>
      <w:marBottom w:val="0"/>
      <w:divBdr>
        <w:top w:val="none" w:sz="0" w:space="0" w:color="auto"/>
        <w:left w:val="none" w:sz="0" w:space="0" w:color="auto"/>
        <w:bottom w:val="none" w:sz="0" w:space="0" w:color="auto"/>
        <w:right w:val="none" w:sz="0" w:space="0" w:color="auto"/>
      </w:divBdr>
    </w:div>
    <w:div w:id="1135564679">
      <w:bodyDiv w:val="1"/>
      <w:marLeft w:val="0"/>
      <w:marRight w:val="0"/>
      <w:marTop w:val="0"/>
      <w:marBottom w:val="0"/>
      <w:divBdr>
        <w:top w:val="none" w:sz="0" w:space="0" w:color="auto"/>
        <w:left w:val="none" w:sz="0" w:space="0" w:color="auto"/>
        <w:bottom w:val="none" w:sz="0" w:space="0" w:color="auto"/>
        <w:right w:val="none" w:sz="0" w:space="0" w:color="auto"/>
      </w:divBdr>
    </w:div>
    <w:div w:id="1211376701">
      <w:bodyDiv w:val="1"/>
      <w:marLeft w:val="0"/>
      <w:marRight w:val="0"/>
      <w:marTop w:val="0"/>
      <w:marBottom w:val="0"/>
      <w:divBdr>
        <w:top w:val="none" w:sz="0" w:space="0" w:color="auto"/>
        <w:left w:val="none" w:sz="0" w:space="0" w:color="auto"/>
        <w:bottom w:val="none" w:sz="0" w:space="0" w:color="auto"/>
        <w:right w:val="none" w:sz="0" w:space="0" w:color="auto"/>
      </w:divBdr>
    </w:div>
    <w:div w:id="1223754288">
      <w:bodyDiv w:val="1"/>
      <w:marLeft w:val="0"/>
      <w:marRight w:val="0"/>
      <w:marTop w:val="0"/>
      <w:marBottom w:val="0"/>
      <w:divBdr>
        <w:top w:val="none" w:sz="0" w:space="0" w:color="auto"/>
        <w:left w:val="none" w:sz="0" w:space="0" w:color="auto"/>
        <w:bottom w:val="none" w:sz="0" w:space="0" w:color="auto"/>
        <w:right w:val="none" w:sz="0" w:space="0" w:color="auto"/>
      </w:divBdr>
    </w:div>
    <w:div w:id="1228765091">
      <w:bodyDiv w:val="1"/>
      <w:marLeft w:val="0"/>
      <w:marRight w:val="0"/>
      <w:marTop w:val="0"/>
      <w:marBottom w:val="0"/>
      <w:divBdr>
        <w:top w:val="none" w:sz="0" w:space="0" w:color="auto"/>
        <w:left w:val="none" w:sz="0" w:space="0" w:color="auto"/>
        <w:bottom w:val="none" w:sz="0" w:space="0" w:color="auto"/>
        <w:right w:val="none" w:sz="0" w:space="0" w:color="auto"/>
      </w:divBdr>
    </w:div>
    <w:div w:id="1299216620">
      <w:bodyDiv w:val="1"/>
      <w:marLeft w:val="0"/>
      <w:marRight w:val="0"/>
      <w:marTop w:val="0"/>
      <w:marBottom w:val="0"/>
      <w:divBdr>
        <w:top w:val="none" w:sz="0" w:space="0" w:color="auto"/>
        <w:left w:val="none" w:sz="0" w:space="0" w:color="auto"/>
        <w:bottom w:val="none" w:sz="0" w:space="0" w:color="auto"/>
        <w:right w:val="none" w:sz="0" w:space="0" w:color="auto"/>
      </w:divBdr>
    </w:div>
    <w:div w:id="1342967797">
      <w:bodyDiv w:val="1"/>
      <w:marLeft w:val="0"/>
      <w:marRight w:val="0"/>
      <w:marTop w:val="0"/>
      <w:marBottom w:val="0"/>
      <w:divBdr>
        <w:top w:val="none" w:sz="0" w:space="0" w:color="auto"/>
        <w:left w:val="none" w:sz="0" w:space="0" w:color="auto"/>
        <w:bottom w:val="none" w:sz="0" w:space="0" w:color="auto"/>
        <w:right w:val="none" w:sz="0" w:space="0" w:color="auto"/>
      </w:divBdr>
    </w:div>
    <w:div w:id="1352024944">
      <w:bodyDiv w:val="1"/>
      <w:marLeft w:val="0"/>
      <w:marRight w:val="0"/>
      <w:marTop w:val="0"/>
      <w:marBottom w:val="0"/>
      <w:divBdr>
        <w:top w:val="none" w:sz="0" w:space="0" w:color="auto"/>
        <w:left w:val="none" w:sz="0" w:space="0" w:color="auto"/>
        <w:bottom w:val="none" w:sz="0" w:space="0" w:color="auto"/>
        <w:right w:val="none" w:sz="0" w:space="0" w:color="auto"/>
      </w:divBdr>
    </w:div>
    <w:div w:id="1454058924">
      <w:bodyDiv w:val="1"/>
      <w:marLeft w:val="0"/>
      <w:marRight w:val="0"/>
      <w:marTop w:val="0"/>
      <w:marBottom w:val="0"/>
      <w:divBdr>
        <w:top w:val="none" w:sz="0" w:space="0" w:color="auto"/>
        <w:left w:val="none" w:sz="0" w:space="0" w:color="auto"/>
        <w:bottom w:val="none" w:sz="0" w:space="0" w:color="auto"/>
        <w:right w:val="none" w:sz="0" w:space="0" w:color="auto"/>
      </w:divBdr>
    </w:div>
    <w:div w:id="1537428975">
      <w:bodyDiv w:val="1"/>
      <w:marLeft w:val="0"/>
      <w:marRight w:val="0"/>
      <w:marTop w:val="0"/>
      <w:marBottom w:val="0"/>
      <w:divBdr>
        <w:top w:val="none" w:sz="0" w:space="0" w:color="auto"/>
        <w:left w:val="none" w:sz="0" w:space="0" w:color="auto"/>
        <w:bottom w:val="none" w:sz="0" w:space="0" w:color="auto"/>
        <w:right w:val="none" w:sz="0" w:space="0" w:color="auto"/>
      </w:divBdr>
    </w:div>
    <w:div w:id="1616867482">
      <w:bodyDiv w:val="1"/>
      <w:marLeft w:val="0"/>
      <w:marRight w:val="0"/>
      <w:marTop w:val="0"/>
      <w:marBottom w:val="0"/>
      <w:divBdr>
        <w:top w:val="none" w:sz="0" w:space="0" w:color="auto"/>
        <w:left w:val="none" w:sz="0" w:space="0" w:color="auto"/>
        <w:bottom w:val="none" w:sz="0" w:space="0" w:color="auto"/>
        <w:right w:val="none" w:sz="0" w:space="0" w:color="auto"/>
      </w:divBdr>
    </w:div>
    <w:div w:id="1646885658">
      <w:bodyDiv w:val="1"/>
      <w:marLeft w:val="0"/>
      <w:marRight w:val="0"/>
      <w:marTop w:val="0"/>
      <w:marBottom w:val="0"/>
      <w:divBdr>
        <w:top w:val="none" w:sz="0" w:space="0" w:color="auto"/>
        <w:left w:val="none" w:sz="0" w:space="0" w:color="auto"/>
        <w:bottom w:val="none" w:sz="0" w:space="0" w:color="auto"/>
        <w:right w:val="none" w:sz="0" w:space="0" w:color="auto"/>
      </w:divBdr>
    </w:div>
    <w:div w:id="1666936784">
      <w:bodyDiv w:val="1"/>
      <w:marLeft w:val="0"/>
      <w:marRight w:val="0"/>
      <w:marTop w:val="0"/>
      <w:marBottom w:val="0"/>
      <w:divBdr>
        <w:top w:val="none" w:sz="0" w:space="0" w:color="auto"/>
        <w:left w:val="none" w:sz="0" w:space="0" w:color="auto"/>
        <w:bottom w:val="none" w:sz="0" w:space="0" w:color="auto"/>
        <w:right w:val="none" w:sz="0" w:space="0" w:color="auto"/>
      </w:divBdr>
    </w:div>
    <w:div w:id="1675957835">
      <w:bodyDiv w:val="1"/>
      <w:marLeft w:val="0"/>
      <w:marRight w:val="0"/>
      <w:marTop w:val="0"/>
      <w:marBottom w:val="0"/>
      <w:divBdr>
        <w:top w:val="none" w:sz="0" w:space="0" w:color="auto"/>
        <w:left w:val="none" w:sz="0" w:space="0" w:color="auto"/>
        <w:bottom w:val="none" w:sz="0" w:space="0" w:color="auto"/>
        <w:right w:val="none" w:sz="0" w:space="0" w:color="auto"/>
      </w:divBdr>
    </w:div>
    <w:div w:id="1676952808">
      <w:bodyDiv w:val="1"/>
      <w:marLeft w:val="0"/>
      <w:marRight w:val="0"/>
      <w:marTop w:val="0"/>
      <w:marBottom w:val="0"/>
      <w:divBdr>
        <w:top w:val="none" w:sz="0" w:space="0" w:color="auto"/>
        <w:left w:val="none" w:sz="0" w:space="0" w:color="auto"/>
        <w:bottom w:val="none" w:sz="0" w:space="0" w:color="auto"/>
        <w:right w:val="none" w:sz="0" w:space="0" w:color="auto"/>
      </w:divBdr>
    </w:div>
    <w:div w:id="1765999664">
      <w:bodyDiv w:val="1"/>
      <w:marLeft w:val="0"/>
      <w:marRight w:val="0"/>
      <w:marTop w:val="0"/>
      <w:marBottom w:val="0"/>
      <w:divBdr>
        <w:top w:val="none" w:sz="0" w:space="0" w:color="auto"/>
        <w:left w:val="none" w:sz="0" w:space="0" w:color="auto"/>
        <w:bottom w:val="none" w:sz="0" w:space="0" w:color="auto"/>
        <w:right w:val="none" w:sz="0" w:space="0" w:color="auto"/>
      </w:divBdr>
    </w:div>
    <w:div w:id="1809393095">
      <w:bodyDiv w:val="1"/>
      <w:marLeft w:val="0"/>
      <w:marRight w:val="0"/>
      <w:marTop w:val="0"/>
      <w:marBottom w:val="0"/>
      <w:divBdr>
        <w:top w:val="none" w:sz="0" w:space="0" w:color="auto"/>
        <w:left w:val="none" w:sz="0" w:space="0" w:color="auto"/>
        <w:bottom w:val="none" w:sz="0" w:space="0" w:color="auto"/>
        <w:right w:val="none" w:sz="0" w:space="0" w:color="auto"/>
      </w:divBdr>
    </w:div>
    <w:div w:id="1810319273">
      <w:bodyDiv w:val="1"/>
      <w:marLeft w:val="0"/>
      <w:marRight w:val="0"/>
      <w:marTop w:val="0"/>
      <w:marBottom w:val="0"/>
      <w:divBdr>
        <w:top w:val="none" w:sz="0" w:space="0" w:color="auto"/>
        <w:left w:val="none" w:sz="0" w:space="0" w:color="auto"/>
        <w:bottom w:val="none" w:sz="0" w:space="0" w:color="auto"/>
        <w:right w:val="none" w:sz="0" w:space="0" w:color="auto"/>
      </w:divBdr>
    </w:div>
    <w:div w:id="1817381666">
      <w:bodyDiv w:val="1"/>
      <w:marLeft w:val="0"/>
      <w:marRight w:val="0"/>
      <w:marTop w:val="0"/>
      <w:marBottom w:val="0"/>
      <w:divBdr>
        <w:top w:val="none" w:sz="0" w:space="0" w:color="auto"/>
        <w:left w:val="none" w:sz="0" w:space="0" w:color="auto"/>
        <w:bottom w:val="none" w:sz="0" w:space="0" w:color="auto"/>
        <w:right w:val="none" w:sz="0" w:space="0" w:color="auto"/>
      </w:divBdr>
    </w:div>
    <w:div w:id="1845900498">
      <w:bodyDiv w:val="1"/>
      <w:marLeft w:val="0"/>
      <w:marRight w:val="0"/>
      <w:marTop w:val="0"/>
      <w:marBottom w:val="0"/>
      <w:divBdr>
        <w:top w:val="none" w:sz="0" w:space="0" w:color="auto"/>
        <w:left w:val="none" w:sz="0" w:space="0" w:color="auto"/>
        <w:bottom w:val="none" w:sz="0" w:space="0" w:color="auto"/>
        <w:right w:val="none" w:sz="0" w:space="0" w:color="auto"/>
      </w:divBdr>
    </w:div>
    <w:div w:id="1865904794">
      <w:bodyDiv w:val="1"/>
      <w:marLeft w:val="0"/>
      <w:marRight w:val="0"/>
      <w:marTop w:val="0"/>
      <w:marBottom w:val="0"/>
      <w:divBdr>
        <w:top w:val="none" w:sz="0" w:space="0" w:color="auto"/>
        <w:left w:val="none" w:sz="0" w:space="0" w:color="auto"/>
        <w:bottom w:val="none" w:sz="0" w:space="0" w:color="auto"/>
        <w:right w:val="none" w:sz="0" w:space="0" w:color="auto"/>
      </w:divBdr>
    </w:div>
    <w:div w:id="1923445598">
      <w:bodyDiv w:val="1"/>
      <w:marLeft w:val="0"/>
      <w:marRight w:val="0"/>
      <w:marTop w:val="0"/>
      <w:marBottom w:val="0"/>
      <w:divBdr>
        <w:top w:val="none" w:sz="0" w:space="0" w:color="auto"/>
        <w:left w:val="none" w:sz="0" w:space="0" w:color="auto"/>
        <w:bottom w:val="none" w:sz="0" w:space="0" w:color="auto"/>
        <w:right w:val="none" w:sz="0" w:space="0" w:color="auto"/>
      </w:divBdr>
    </w:div>
    <w:div w:id="2035037015">
      <w:bodyDiv w:val="1"/>
      <w:marLeft w:val="0"/>
      <w:marRight w:val="0"/>
      <w:marTop w:val="0"/>
      <w:marBottom w:val="0"/>
      <w:divBdr>
        <w:top w:val="none" w:sz="0" w:space="0" w:color="auto"/>
        <w:left w:val="none" w:sz="0" w:space="0" w:color="auto"/>
        <w:bottom w:val="none" w:sz="0" w:space="0" w:color="auto"/>
        <w:right w:val="none" w:sz="0" w:space="0" w:color="auto"/>
      </w:divBdr>
    </w:div>
    <w:div w:id="2053309746">
      <w:bodyDiv w:val="1"/>
      <w:marLeft w:val="0"/>
      <w:marRight w:val="0"/>
      <w:marTop w:val="0"/>
      <w:marBottom w:val="0"/>
      <w:divBdr>
        <w:top w:val="none" w:sz="0" w:space="0" w:color="auto"/>
        <w:left w:val="none" w:sz="0" w:space="0" w:color="auto"/>
        <w:bottom w:val="none" w:sz="0" w:space="0" w:color="auto"/>
        <w:right w:val="none" w:sz="0" w:space="0" w:color="auto"/>
      </w:divBdr>
    </w:div>
    <w:div w:id="205750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moray.cmis.uk.com/Moray/Document.ashx?czJKcaeAi5tUFL1DTL2UE4zNRBcoShgo=TEyCcoS9VObAon%2fx2qs%2bhF8CCaS4Gb8dFAVibVF8OzwtQ2qgwnFUFQ%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26" Type="http://schemas.openxmlformats.org/officeDocument/2006/relationships/hyperlink" Target="https://moray.cmis.uk.com/Moray/Document.ashx?czJKcaeAi5tUFL1DTL2UE4zNRBcoShgo=yeJpkxGmZmHc8RNv1MrQqOY6ds86BD0VUR5q94BsMWCodQVnlyX90Q%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39" Type="http://schemas.openxmlformats.org/officeDocument/2006/relationships/hyperlink" Target="https://moray.cmis.uk.com/Moray/Document.ashx?czJKcaeAi5tUFL1DTL2UE4zNRBcoShgo=vt1ryfnmRQzJHwDc179z7XfrbiKgzKGfy8q39%2bYpMS%2bZl8EzGk7fhg%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21" Type="http://schemas.openxmlformats.org/officeDocument/2006/relationships/hyperlink" Target="https://moray.cmis.uk.com/Moray/Document.ashx?czJKcaeAi5tUFL1DTL2UE4zNRBcoShgo=uYZvWeabRVXRYzfEMcMM4RA9Cb5R4Tfkk%2bI%2bM8uKq7mmK3u%2bE9O1XA%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34" Type="http://schemas.openxmlformats.org/officeDocument/2006/relationships/hyperlink" Target="https://moray.cmis.uk.com/Moray/Document.ashx?czJKcaeAi5tUFL1DTL2UE4zNRBcoShgo=OW9YJM1qcae28peAwJ2q9pD2PPfy7ylf0FadGuvIZKGwXNDTx7d8sA%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moray.cmis.uk.com/Moray/Document.ashx?czJKcaeAi5tUFL1DTL2UE4zNRBcoShgo=D6mGIZ8nv2uzuBE3RJ%2bCkGw9DvcNpCY7CLo0coPcJ5%2fOJObmMuCsbw%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20" Type="http://schemas.openxmlformats.org/officeDocument/2006/relationships/hyperlink" Target="https://moray.cmis.uk.com/Moray/Document.ashx?czJKcaeAi5tUFL1DTL2UE4zNRBcoShgo=OteMCvA8n8Aq85uX9lIZmdXE3sp00N7%2fk%2bLk5Iw4AwHbeXe40OuzVg%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29" Type="http://schemas.openxmlformats.org/officeDocument/2006/relationships/hyperlink" Target="https://moray.cmis.uk.com/Moray/Document.ashx?czJKcaeAi5tUFL1DTL2UE4zNRBcoShgo=E0bT5dEq8KvizdoyrxuE6AKCEOE0ZkF47KokXgiTnR7cA%2fS7LjcrLA%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moray.cmis.uk.com/Moray/Document.ashx?czJKcaeAi5tUFL1DTL2UE4zNRBcoShgo=Th6ZP3klxdQqjLb%2fnkPAiS2EaIxGlJ6LMfyoDNguXFWkpHepH8CWxg%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32" Type="http://schemas.openxmlformats.org/officeDocument/2006/relationships/hyperlink" Target="https://moray.cmis.uk.com/Moray/Document.ashx?czJKcaeAi5tUFL1DTL2UE4zNRBcoShgo=5rPwEddwR8OzHDHHLDriA%2fgFkPwjBfTkvfqpy48aueSwvc8%2f6%2fHtoQ%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37" Type="http://schemas.openxmlformats.org/officeDocument/2006/relationships/hyperlink" Target="https://moray.cmis.uk.com/Moray/Document.ashx?czJKcaeAi5tUFL1DTL2UE4zNRBcoShgo=soTqiv2E1sDx3k1rJYbz%2bJ05dt10CFz5ZmfWiwh6hbC1Kg1ZwPgT1Q%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moray.cmis.uk.com/Moray/Document.ashx?czJKcaeAi5tUFL1DTL2UE4zNRBcoShgo=PeVcDShCmC%2bWIbRuMOk7bzJGrrh66YPMCwD7KPHiLMja4zPv0KpBpg%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23" Type="http://schemas.openxmlformats.org/officeDocument/2006/relationships/hyperlink" Target="https://moray.cmis.uk.com/Moray/Document.ashx?czJKcaeAi5tUFL1DTL2UE4zNRBcoShgo=fAahbJT%2fUNm33eGKCNxXEUgdLeZXttavR0ogz36iKvBJ%2fKumU9qEQw%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28" Type="http://schemas.openxmlformats.org/officeDocument/2006/relationships/hyperlink" Target="https://moray.cmis.uk.com/Moray/Document.ashx?czJKcaeAi5tUFL1DTL2UE4zNRBcoShgo=I%2bw%2bPKnB%2bxx4yoO6wCcRybGPwRWd7f5zl4kqxKms4nUUrnb2XbNPKA%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36" Type="http://schemas.openxmlformats.org/officeDocument/2006/relationships/hyperlink" Target="https://moray.cmis.uk.com/Moray/Document.ashx?czJKcaeAi5tUFL1DTL2UE4zNRBcoShgo=TymfaZCjEbm3T1bOnT0uv2E6cyBFqoEYj2Xx5J%2bNWE0GxHX2jSY7mw%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10" Type="http://schemas.openxmlformats.org/officeDocument/2006/relationships/settings" Target="settings.xml"/><Relationship Id="rId19" Type="http://schemas.openxmlformats.org/officeDocument/2006/relationships/hyperlink" Target="https://moray.cmis.uk.com/Moray/Document.ashx?czJKcaeAi5tUFL1DTL2UE4zNRBcoShgo=lRA5fcxNcme9I%2flyulfr2aUpj6UaP15k%2fyCg8c8VLJiT5vddYyC7ow%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31" Type="http://schemas.openxmlformats.org/officeDocument/2006/relationships/hyperlink" Target="https://moray.cmis.uk.com/Moray/Document.ashx?czJKcaeAi5tUFL1DTL2UE4zNRBcoShgo=EkorP7bGb83l4%2flGwh0pAfbwWsVG9N2zPSxRrUUsGRNLJZhDdrN5BA%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moray.cmis.uk.com/Moray/Document.ashx?czJKcaeAi5tUFL1DTL2UE4zNRBcoShgo=qnKEUQPdCPtWg5YIRvJg9KCl%2bidYyC0ySzt%2fYRKvIea4CO28bqzXhw%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22" Type="http://schemas.openxmlformats.org/officeDocument/2006/relationships/hyperlink" Target="https://moray.cmis.uk.com/Moray/Document.ashx?czJKcaeAi5tUFL1DTL2UE4zNRBcoShgo=Kt8DTjoSrm5%2flRMYzC0m4HlU%2bK5OUTz1LompGOw2DkvNeazBIHGmrg%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27" Type="http://schemas.openxmlformats.org/officeDocument/2006/relationships/hyperlink" Target="https://moray.cmis.uk.com/Moray/Document.ashx?czJKcaeAi5tUFL1DTL2UE4zNRBcoShgo=NgyaOh87jXIOJna4hsLRnrBWvg3vCMc2%2bj%2b37e%2fl5aPfWE0UU51Wwg%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30" Type="http://schemas.openxmlformats.org/officeDocument/2006/relationships/hyperlink" Target="https://moray.cmis.uk.com/Moray/Document.ashx?czJKcaeAi5tUFL1DTL2UE4zNRBcoShgo=D780NfFCUuKxOG4sdxU7IkJVvo%2b4y3CJO6sxXmZxzWX736J0FwwZ3Q%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35" Type="http://schemas.openxmlformats.org/officeDocument/2006/relationships/hyperlink" Target="https://moray.cmis.uk.com/Moray/Document.ashx?czJKcaeAi5tUFL1DTL2UE4zNRBcoShgo=4wwEJZ3jLbfO%2bcjr2%2bm36xPXfxYcDwjDktwb4Et7rApnNYS1idMVVg%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moray.cmis.uk.com/Moray/Document.ashx?czJKcaeAi5tUFL1DTL2UE4zNRBcoShgo=UO3IZBxWl0PQoxgGzPElUc42V2MwJwOQYZRNau83zs4hppBkOJe3vw%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25" Type="http://schemas.openxmlformats.org/officeDocument/2006/relationships/hyperlink" Target="https://moray.cmis.uk.com/Moray/Document.ashx?czJKcaeAi5tUFL1DTL2UE4zNRBcoShgo=k3VdwYHCn91PwrqtnKmqJ25mZBHEcholQUJaZ6BPgIyalqpqtz%2fTTg%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33" Type="http://schemas.openxmlformats.org/officeDocument/2006/relationships/hyperlink" Target="https://moray.cmis.uk.com/Moray/Document.ashx?czJKcaeAi5tUFL1DTL2UE4zNRBcoShgo=vALN44vFJ4lxNeIAywFIqcGx5POOVvHyQImlWPynL%2fkgJQTzfiNLKQ%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38" Type="http://schemas.openxmlformats.org/officeDocument/2006/relationships/hyperlink" Target="https://moray.cmis.uk.com/Moray/Document.ashx?czJKcaeAi5tUFL1DTL2UE4zNRBcoShgo=Ff4%2bWTC6TOlgDW3RqVqi6wKHtdCST6%2fh476nwtoTxDIXBPNOm%2br9QA%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dbff0719-6543-4572-a57c-2259fc483c12" ContentTypeId="0x010100F4579FC8C7439B4A81130FDACC7F49890D0403" PreviousValue="true"/>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ORP Report" ma:contentTypeID="0x010100F4579FC8C7439B4A81130FDACC7F49890D04030053E54A91E2C7A4419857099A197D9084" ma:contentTypeVersion="196" ma:contentTypeDescription="" ma:contentTypeScope="" ma:versionID="e995e0c487ca467895a1f75a22bf94a6">
  <xsd:schema xmlns:xsd="http://www.w3.org/2001/XMLSchema" xmlns:xs="http://www.w3.org/2001/XMLSchema" xmlns:p="http://schemas.microsoft.com/office/2006/metadata/properties" xmlns:ns1="http://schemas.microsoft.com/sharepoint/v3" xmlns:ns2="c44dace1-49c5-45b2-a3fd-8f9663d2bbff" targetNamespace="http://schemas.microsoft.com/office/2006/metadata/properties" ma:root="true" ma:fieldsID="fe7ab66b85f0902ad8a745c9e5ce14fa" ns1:_="" ns2:_="">
    <xsd:import namespace="http://schemas.microsoft.com/sharepoint/v3"/>
    <xsd:import namespace="c44dace1-49c5-45b2-a3fd-8f9663d2bbff"/>
    <xsd:element name="properties">
      <xsd:complexType>
        <xsd:sequence>
          <xsd:element name="documentManagement">
            <xsd:complexType>
              <xsd:all>
                <xsd:element ref="ns2:FileRef1" minOccurs="0"/>
                <xsd:element ref="ns2:ClosureDate" minOccurs="0"/>
                <xsd:element ref="ns2:_dlc_DocId" minOccurs="0"/>
                <xsd:element ref="ns2:_dlc_DocIdUrl" minOccurs="0"/>
                <xsd:element ref="ns2:_dlc_DocIdPersistId" minOccurs="0"/>
                <xsd:element ref="ns2:bd985bbe68b74225aaf8b24203c90860" minOccurs="0"/>
                <xsd:element ref="ns2:TaxCatchAll" minOccurs="0"/>
                <xsd:element ref="ns2:TaxCatchAllLabel" minOccurs="0"/>
                <xsd:element ref="ns2:OwnersDate" minOccurs="0"/>
                <xsd:element ref="ns2:RecManDate" minOccurs="0"/>
                <xsd:element ref="ns2:RetentionOptions" minOccurs="0"/>
                <xsd:element ref="ns2:Retention_x0020_Review_x0020_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4dace1-49c5-45b2-a3fd-8f9663d2bbff" elementFormDefault="qualified">
    <xsd:import namespace="http://schemas.microsoft.com/office/2006/documentManagement/types"/>
    <xsd:import namespace="http://schemas.microsoft.com/office/infopath/2007/PartnerControls"/>
    <xsd:element name="FileRef1" ma:index="2" nillable="true" ma:displayName="File Ref" ma:internalName="FileRef1">
      <xsd:simpleType>
        <xsd:restriction base="dms:Text">
          <xsd:maxLength value="255"/>
        </xsd:restriction>
      </xsd:simpleType>
    </xsd:element>
    <xsd:element name="ClosureDate" ma:index="4" nillable="true" ma:displayName="Closure Date" ma:format="DateOnly" ma:internalName="ClosureDate">
      <xsd:simpleType>
        <xsd:restriction base="dms:DateTime"/>
      </xsd:simpleType>
    </xsd:element>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element name="bd985bbe68b74225aaf8b24203c90860" ma:index="11" nillable="true" ma:taxonomy="true" ma:internalName="bd985bbe68b74225aaf8b24203c90860" ma:taxonomyFieldName="LibraryName" ma:displayName="Library Name" ma:default="" ma:fieldId="{bd985bbe-68b7-4225-aaf8-b24203c90860}" ma:sspId="7b547146-5c2e-4cb4-9045-d68115c8f7b4" ma:termSetId="0c741afa-04ac-4c98-a0a9-72e3ccd0f75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2f0fdb5-8f30-439e-a9e4-3308177a7047}" ma:internalName="TaxCatchAll" ma:showField="CatchAllData" ma:web="712874de-af8c-47fa-bfef-1c0d530966f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2f0fdb5-8f30-439e-a9e4-3308177a7047}" ma:internalName="TaxCatchAllLabel" ma:readOnly="true" ma:showField="CatchAllDataLabel" ma:web="712874de-af8c-47fa-bfef-1c0d530966fb">
      <xsd:complexType>
        <xsd:complexContent>
          <xsd:extension base="dms:MultiChoiceLookup">
            <xsd:sequence>
              <xsd:element name="Value" type="dms:Lookup" maxOccurs="unbounded" minOccurs="0" nillable="true"/>
            </xsd:sequence>
          </xsd:extension>
        </xsd:complexContent>
      </xsd:complexType>
    </xsd:element>
    <xsd:element name="OwnersDate" ma:index="16" nillable="true" ma:displayName="Owners Date" ma:format="DateOnly" ma:internalName="OwnersDate">
      <xsd:simpleType>
        <xsd:restriction base="dms:DateTime"/>
      </xsd:simpleType>
    </xsd:element>
    <xsd:element name="RecManDate" ma:index="17" nillable="true" ma:displayName="RecMan Date" ma:format="DateOnly" ma:internalName="RecManDate">
      <xsd:simpleType>
        <xsd:restriction base="dms:DateTime"/>
      </xsd:simpleType>
    </xsd:element>
    <xsd:element name="RetentionOptions" ma:index="18" nillable="true" ma:displayName="Retention Options" ma:default="Delete" ma:format="Dropdown" ma:hidden="true" ma:internalName="RetentionOptions" ma:readOnly="false">
      <xsd:simpleType>
        <xsd:restriction base="dms:Choice">
          <xsd:enumeration value="Delete"/>
          <xsd:enumeration value="Retain"/>
          <xsd:enumeration value="Archive"/>
        </xsd:restriction>
      </xsd:simpleType>
    </xsd:element>
    <xsd:element name="Retention_x0020_Review_x0020_Date" ma:index="20" nillable="true" ma:displayName="Retention Review Date" ma:format="DateOnly" ma:internalName="Retention_x0020_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CORP Report</p:Name>
  <p:Description>Closure Date + 28 Days; move to Record Centre </p:Description>
  <p:Statement>Closure Date + 28 Days; move to Record Centre </p:Statement>
  <p:PolicyItems>
    <p:PolicyItem featureId="Microsoft.Office.RecordsManagement.PolicyFeatures.Expiration" staticId="0x010100F4579FC8C7439B4A81130FDACC7F49890D04030053E54A91E2C7A4419857099A197D9084|1669594827" UniqueId="0c62076e-6b92-4c27-9908-cc7e7b69226b">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28</number>
                  <property>ClosureDate</property>
                  <propertyId>6813818c-b480-46df-bde5-2faeafb0b651</propertyId>
                  <period>days</period>
                </formula>
                <action type="action" id="Microsoft.Office.RecordsManagement.PolicyFeatures.Expiration.Action.SubmitFileMove" destnExplanation="Transferred due to organizational policy" destnId="3ca67553-f0f3-44fd-893b-4cee2e4494f8" destnName="CE Assessments &amp; Equality Records" destnUrl="http://sprecce.moray.gov.uk/RecAssessEqSite/_vti_bin/OfficialFile.asmx"/>
              </data>
            </stages>
          </Schedule>
        </Schedules>
      </p:CustomData>
    </p:PolicyItem>
  </p:PolicyItems>
</p:Policy>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TaxCatchAll xmlns="c44dace1-49c5-45b2-a3fd-8f9663d2bbff">
      <Value>11</Value>
    </TaxCatchAll>
    <_dlc_DocId xmlns="c44dace1-49c5-45b2-a3fd-8f9663d2bbff">SPCE-1354706477-550</_dlc_DocId>
    <_dlc_DocIdUrl xmlns="c44dace1-49c5-45b2-a3fd-8f9663d2bbff">
      <Url>http://spce.moray.gov.uk/EqAssessSite/_layouts/15/DocIdRedir.aspx?ID=SPCE-1354706477-550</Url>
      <Description>SPCE-1354706477-550</Description>
    </_dlc_DocIdUrl>
    <ClosureDate xmlns="c44dace1-49c5-45b2-a3fd-8f9663d2bbff" xsi:nil="true"/>
    <RecManDate xmlns="c44dace1-49c5-45b2-a3fd-8f9663d2bbff" xsi:nil="true"/>
    <FileRef1 xmlns="c44dace1-49c5-45b2-a3fd-8f9663d2bbff">EIA Monitoring Sheet - April 2025 to March 2026</FileRef1>
    <Retention_x0020_Review_x0020_Date xmlns="c44dace1-49c5-45b2-a3fd-8f9663d2bbff" xsi:nil="true"/>
    <bd985bbe68b74225aaf8b24203c90860 xmlns="c44dace1-49c5-45b2-a3fd-8f9663d2bbff">
      <Terms xmlns="http://schemas.microsoft.com/office/infopath/2007/PartnerControls">
        <TermInfo xmlns="http://schemas.microsoft.com/office/infopath/2007/PartnerControls">
          <TermName xmlns="http://schemas.microsoft.com/office/infopath/2007/PartnerControls">Equality</TermName>
          <TermId xmlns="http://schemas.microsoft.com/office/infopath/2007/PartnerControls">2112964d-87a0-4fcb-aab8-97107805187e</TermId>
        </TermInfo>
      </Terms>
    </bd985bbe68b74225aaf8b24203c90860>
    <OwnersDate xmlns="c44dace1-49c5-45b2-a3fd-8f9663d2bbff" xsi:nil="true"/>
    <RetentionOptions xmlns="c44dace1-49c5-45b2-a3fd-8f9663d2bbff">Delete</RetentionOptions>
  </documentManagement>
</p:properties>
</file>

<file path=customXml/itemProps1.xml><?xml version="1.0" encoding="utf-8"?>
<ds:datastoreItem xmlns:ds="http://schemas.openxmlformats.org/officeDocument/2006/customXml" ds:itemID="{CD54E0A2-AA20-4A56-A2CB-4CBF6BE9E524}">
  <ds:schemaRefs>
    <ds:schemaRef ds:uri="Microsoft.SharePoint.Taxonomy.ContentTypeSync"/>
  </ds:schemaRefs>
</ds:datastoreItem>
</file>

<file path=customXml/itemProps2.xml><?xml version="1.0" encoding="utf-8"?>
<ds:datastoreItem xmlns:ds="http://schemas.openxmlformats.org/officeDocument/2006/customXml" ds:itemID="{BA17566B-B4A9-4E52-A066-305A6BB106C5}">
  <ds:schemaRefs>
    <ds:schemaRef ds:uri="http://schemas.microsoft.com/office/2006/metadata/customXsn"/>
  </ds:schemaRefs>
</ds:datastoreItem>
</file>

<file path=customXml/itemProps3.xml><?xml version="1.0" encoding="utf-8"?>
<ds:datastoreItem xmlns:ds="http://schemas.openxmlformats.org/officeDocument/2006/customXml" ds:itemID="{1F8FE278-6FEB-4EF2-8300-F9425C1E138D}">
  <ds:schemaRefs>
    <ds:schemaRef ds:uri="http://schemas.microsoft.com/sharepoint/events"/>
  </ds:schemaRefs>
</ds:datastoreItem>
</file>

<file path=customXml/itemProps4.xml><?xml version="1.0" encoding="utf-8"?>
<ds:datastoreItem xmlns:ds="http://schemas.openxmlformats.org/officeDocument/2006/customXml" ds:itemID="{E0719C86-DBD7-431A-88B5-B09C9D75C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4dace1-49c5-45b2-a3fd-8f9663d2b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A46AE6-0DD1-41E3-A8B7-EC32BB83A7D2}">
  <ds:schemaRefs>
    <ds:schemaRef ds:uri="office.server.policy"/>
  </ds:schemaRefs>
</ds:datastoreItem>
</file>

<file path=customXml/itemProps6.xml><?xml version="1.0" encoding="utf-8"?>
<ds:datastoreItem xmlns:ds="http://schemas.openxmlformats.org/officeDocument/2006/customXml" ds:itemID="{8CA62162-AEEE-4510-8750-4465EED402DE}">
  <ds:schemaRefs>
    <ds:schemaRef ds:uri="http://schemas.openxmlformats.org/officeDocument/2006/bibliography"/>
  </ds:schemaRefs>
</ds:datastoreItem>
</file>

<file path=customXml/itemProps7.xml><?xml version="1.0" encoding="utf-8"?>
<ds:datastoreItem xmlns:ds="http://schemas.openxmlformats.org/officeDocument/2006/customXml" ds:itemID="{4DEC568F-229E-4AD8-819C-C893DA2218CB}">
  <ds:schemaRefs>
    <ds:schemaRef ds:uri="http://schemas.microsoft.com/sharepoint/v3/contenttype/forms"/>
  </ds:schemaRefs>
</ds:datastoreItem>
</file>

<file path=customXml/itemProps8.xml><?xml version="1.0" encoding="utf-8"?>
<ds:datastoreItem xmlns:ds="http://schemas.openxmlformats.org/officeDocument/2006/customXml" ds:itemID="{047B6FD0-3DE0-48D3-8160-800304FF7148}">
  <ds:schemaRefs>
    <ds:schemaRef ds:uri="http://schemas.microsoft.com/office/2006/metadata/properties"/>
    <ds:schemaRef ds:uri="http://schemas.microsoft.com/office/infopath/2007/PartnerControls"/>
    <ds:schemaRef ds:uri="c44dace1-49c5-45b2-a3fd-8f9663d2bbff"/>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4</Pages>
  <Words>4357</Words>
  <Characters>24488</Characters>
  <Application>Microsoft Office Word</Application>
  <DocSecurity>0</DocSecurity>
  <Lines>661</Lines>
  <Paragraphs>412</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28433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Marshall</dc:creator>
  <cp:keywords/>
  <dc:description/>
  <cp:lastModifiedBy>Jacqui Graham</cp:lastModifiedBy>
  <cp:revision>12</cp:revision>
  <cp:lastPrinted>2025-04-10T08:55:00Z</cp:lastPrinted>
  <dcterms:created xsi:type="dcterms:W3CDTF">2025-04-09T15:03:00Z</dcterms:created>
  <dcterms:modified xsi:type="dcterms:W3CDTF">2026-04-24T14:53:00Z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0x010100F4579FC8C7439B4A81130FDACC7F49890D04030053E54A91E2C7A4419857099A197D9084</vt:lpwstr>
  </property>
  <property fmtid="{D5CDD505-2E9C-101B-9397-08002B2CF9AE}" pid="3" name="ItemRetentionFormula">
    <vt:lpwstr>&lt;formula id="Microsoft.Office.RecordsManagement.PolicyFeatures.Expiration.Formula.BuiltIn"&gt;&lt;number&gt;28&lt;/number&gt;&lt;property&gt;ClosureDate&lt;/property&gt;&lt;propertyId&gt;6813818c-b480-46df-bde5-2faeafb0b651&lt;/propertyId&gt;&lt;period&gt;days&lt;/period&gt;&lt;/formula&gt;</vt:lpwstr>
  </property>
  <property fmtid="{D5CDD505-2E9C-101B-9397-08002B2CF9AE}" pid="4" name="_dlc_policyId">
    <vt:lpwstr>0x010100F4579FC8C7439B4A81130FDACC7F49890D04030053E54A91E2C7A4419857099A197D9084|1669594827</vt:lpwstr>
  </property>
  <property fmtid="{D5CDD505-2E9C-101B-9397-08002B2CF9AE}" pid="5" name="_dlc_DocIdItemGuid">
    <vt:lpwstr>c004f1db-8fc3-4314-b35d-29b6ee49af27</vt:lpwstr>
  </property>
  <property fmtid="{D5CDD505-2E9C-101B-9397-08002B2CF9AE}" pid="6" name="bd985bbe68b74225aaf8b24203c90860">
    <vt:lpwstr>Equality|2112964d-87a0-4fcb-aab8-97107805187e</vt:lpwstr>
  </property>
  <property fmtid="{D5CDD505-2E9C-101B-9397-08002B2CF9AE}" pid="7" name="LibraryName">
    <vt:lpwstr>11;#Equality|2112964d-87a0-4fcb-aab8-97107805187e</vt:lpwstr>
  </property>
</Properties>
</file>